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659D" w14:textId="77777777" w:rsidR="00F73E36" w:rsidRPr="00F73E36" w:rsidRDefault="00F73E36" w:rsidP="00F73E36">
      <w:pPr>
        <w:spacing w:after="0"/>
        <w:ind w:firstLine="0"/>
        <w:jc w:val="center"/>
        <w:rPr>
          <w:rFonts w:eastAsia="Times New Roman"/>
          <w:b/>
          <w:sz w:val="22"/>
          <w:szCs w:val="22"/>
        </w:rPr>
      </w:pPr>
      <w:r w:rsidRPr="00F73E36">
        <w:rPr>
          <w:rFonts w:eastAsia="Times New Roman"/>
          <w:b/>
          <w:sz w:val="22"/>
          <w:szCs w:val="22"/>
        </w:rPr>
        <w:t>No. 20-843</w:t>
      </w:r>
    </w:p>
    <w:p w14:paraId="6A7313D2" w14:textId="77777777" w:rsidR="00F73E36" w:rsidRPr="00F73E36" w:rsidRDefault="00F73E36" w:rsidP="00F73E36">
      <w:pPr>
        <w:spacing w:after="0"/>
        <w:ind w:firstLine="0"/>
        <w:jc w:val="left"/>
        <w:rPr>
          <w:rFonts w:eastAsia="Times New Roman"/>
          <w:b/>
          <w:sz w:val="16"/>
          <w:szCs w:val="16"/>
          <w:u w:val="double"/>
          <w14:textOutline w14:w="9525" w14:cap="rnd" w14:cmpd="thickThin" w14:algn="ctr">
            <w14:solidFill>
              <w14:srgbClr w14:val="000000"/>
            </w14:solidFill>
            <w14:prstDash w14:val="solid"/>
            <w14:bevel/>
          </w14:textOutline>
        </w:rPr>
      </w:pPr>
      <w:r w:rsidRPr="00F73E36">
        <w:rPr>
          <w:rFonts w:eastAsia="Times New Roman"/>
          <w:b/>
          <w:noProof/>
          <w:sz w:val="16"/>
          <w:szCs w:val="16"/>
          <w:u w:val="double"/>
          <w14:textOutline w14:w="9525" w14:cap="rnd" w14:cmpd="thickThin"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67046026" wp14:editId="2DE9789C">
                <wp:simplePos x="0" y="0"/>
                <wp:positionH relativeFrom="column">
                  <wp:align>center</wp:align>
                </wp:positionH>
                <wp:positionV relativeFrom="paragraph">
                  <wp:posOffset>80010</wp:posOffset>
                </wp:positionV>
                <wp:extent cx="3749040" cy="0"/>
                <wp:effectExtent l="0" t="19050" r="41910" b="38100"/>
                <wp:wrapNone/>
                <wp:docPr id="1" name="Straight Connector 1"/>
                <wp:cNvGraphicFramePr/>
                <a:graphic xmlns:a="http://schemas.openxmlformats.org/drawingml/2006/main">
                  <a:graphicData uri="http://schemas.microsoft.com/office/word/2010/wordprocessingShape">
                    <wps:wsp>
                      <wps:cNvCnPr/>
                      <wps:spPr>
                        <a:xfrm>
                          <a:off x="0" y="0"/>
                          <a:ext cx="3749040" cy="0"/>
                        </a:xfrm>
                        <a:prstGeom prst="line">
                          <a:avLst/>
                        </a:prstGeom>
                        <a:noFill/>
                        <a:ln w="57150" cap="flat" cmpd="dbl"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9CBB2D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6.3pt" to="29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" strokecolor="windowText" strokeweight="4.5pt">
                <v:stroke linestyle="thinThin"/>
              </v:line>
            </w:pict>
          </mc:Fallback>
        </mc:AlternateContent>
      </w:r>
    </w:p>
    <w:p w14:paraId="5BCC4CAF" w14:textId="77777777" w:rsidR="00F73E36" w:rsidRPr="00F73E36" w:rsidRDefault="00F73E36" w:rsidP="00F73E36">
      <w:pPr>
        <w:spacing w:after="0"/>
        <w:ind w:firstLine="0"/>
        <w:jc w:val="center"/>
        <w:rPr>
          <w:rFonts w:ascii="Old English Text MT" w:eastAsia="Times New Roman" w:hAnsi="Old English Text MT"/>
          <w:b/>
        </w:rPr>
      </w:pPr>
      <w:r w:rsidRPr="00F73E36">
        <w:rPr>
          <w:rFonts w:ascii="Old English Text MT" w:eastAsia="Times New Roman" w:hAnsi="Old English Text MT"/>
          <w:b/>
        </w:rPr>
        <w:t>In the</w:t>
      </w:r>
    </w:p>
    <w:p w14:paraId="47A6B6E8" w14:textId="77777777" w:rsidR="00F73E36" w:rsidRPr="00F73E36" w:rsidRDefault="00F73E36" w:rsidP="00F73E36">
      <w:pPr>
        <w:spacing w:after="0"/>
        <w:ind w:firstLine="0"/>
        <w:jc w:val="center"/>
        <w:rPr>
          <w:rFonts w:ascii="Old English Text MT" w:eastAsia="Times New Roman" w:hAnsi="Old English Text MT"/>
          <w:b/>
          <w:sz w:val="32"/>
          <w:szCs w:val="32"/>
        </w:rPr>
      </w:pPr>
      <w:r w:rsidRPr="00F73E36">
        <w:rPr>
          <w:rFonts w:ascii="Old English Text MT" w:eastAsia="Times New Roman" w:hAnsi="Old English Text MT"/>
          <w:b/>
          <w:sz w:val="32"/>
          <w:szCs w:val="32"/>
        </w:rPr>
        <w:t xml:space="preserve">Supreme Court of </w:t>
      </w:r>
      <w:smartTag w:uri="urn:samples-msdn-microsoft-com" w:element="M5ConnectSmartTag">
        <w:smartTagPr>
          <w:attr w:name="Value" w:val="(202) 220-9600"/>
        </w:smartTagPr>
        <w:r w:rsidRPr="00F73E36">
          <w:rPr>
            <w:rFonts w:ascii="Old English Text MT" w:eastAsia="Times New Roman" w:hAnsi="Old English Text MT"/>
            <w:b/>
            <w:sz w:val="32"/>
            <w:szCs w:val="32"/>
          </w:rPr>
          <w:t>the</w:t>
        </w:r>
      </w:smartTag>
      <w:r w:rsidRPr="00F73E36">
        <w:rPr>
          <w:rFonts w:ascii="Old English Text MT" w:eastAsia="Times New Roman" w:hAnsi="Old English Text MT"/>
          <w:b/>
          <w:sz w:val="32"/>
          <w:szCs w:val="32"/>
        </w:rPr>
        <w:t xml:space="preserve"> </w:t>
      </w:r>
      <w:smartTag w:uri="urn:samples-msdn-microsoft-com" w:element="M5ConnectSmartTag">
        <w:smartTagPr>
          <w:attr w:name="Value" w:val="(202) 220-9600"/>
        </w:smartTagPr>
        <w:r w:rsidRPr="00F73E36">
          <w:rPr>
            <w:rFonts w:ascii="Old English Text MT" w:eastAsia="Times New Roman" w:hAnsi="Old English Text MT"/>
            <w:b/>
            <w:sz w:val="32"/>
            <w:szCs w:val="32"/>
          </w:rPr>
          <w:t>United States</w:t>
        </w:r>
      </w:smartTag>
    </w:p>
    <w:p w14:paraId="61C3BA3F" w14:textId="77777777" w:rsidR="00F73E36" w:rsidRPr="00F73E36" w:rsidRDefault="00F73E36" w:rsidP="00F73E36">
      <w:pPr>
        <w:spacing w:after="0"/>
        <w:ind w:firstLine="0"/>
        <w:jc w:val="center"/>
        <w:rPr>
          <w:rFonts w:eastAsia="Times New Roman"/>
          <w:b/>
          <w:sz w:val="8"/>
          <w:szCs w:val="8"/>
        </w:rPr>
      </w:pPr>
      <w:r w:rsidRPr="00F73E36">
        <w:rPr>
          <w:rFonts w:eastAsia="Times New Roman"/>
          <w:b/>
          <w:sz w:val="8"/>
          <w:szCs w:val="8"/>
        </w:rPr>
        <w:t>_________________________________________________________</w:t>
      </w:r>
    </w:p>
    <w:p w14:paraId="2CCCE62B" w14:textId="77777777" w:rsidR="00F73E36" w:rsidRPr="00F73E36" w:rsidRDefault="00F73E36" w:rsidP="00F73E36">
      <w:pPr>
        <w:spacing w:before="80" w:after="0"/>
        <w:ind w:firstLine="0"/>
        <w:jc w:val="center"/>
        <w:rPr>
          <w:rFonts w:eastAsia="Times New Roman"/>
          <w:smallCaps/>
          <w:sz w:val="22"/>
          <w:szCs w:val="22"/>
        </w:rPr>
      </w:pPr>
      <w:r w:rsidRPr="00F73E36">
        <w:rPr>
          <w:rFonts w:eastAsia="Times New Roman"/>
          <w:smallCaps/>
          <w:sz w:val="22"/>
          <w:szCs w:val="22"/>
        </w:rPr>
        <w:t xml:space="preserve">New York State Rifle &amp; Pistol </w:t>
      </w:r>
      <w:r w:rsidRPr="00F73E36">
        <w:rPr>
          <w:rFonts w:eastAsia="Times New Roman"/>
          <w:smallCaps/>
          <w:sz w:val="22"/>
          <w:szCs w:val="22"/>
        </w:rPr>
        <w:br/>
        <w:t>Association, Inc.</w:t>
      </w:r>
      <w:r w:rsidRPr="00F73E36">
        <w:rPr>
          <w:rFonts w:eastAsia="Times New Roman"/>
          <w:sz w:val="22"/>
          <w:szCs w:val="22"/>
        </w:rPr>
        <w:t xml:space="preserve">, </w:t>
      </w:r>
      <w:r w:rsidRPr="00F73E36">
        <w:rPr>
          <w:rFonts w:eastAsia="Times New Roman"/>
          <w:i/>
          <w:iCs/>
          <w:sz w:val="22"/>
          <w:szCs w:val="22"/>
        </w:rPr>
        <w:t>et al.</w:t>
      </w:r>
      <w:r w:rsidRPr="00F73E36">
        <w:rPr>
          <w:rFonts w:eastAsia="Times New Roman"/>
          <w:sz w:val="22"/>
          <w:szCs w:val="22"/>
        </w:rPr>
        <w:t>,</w:t>
      </w:r>
    </w:p>
    <w:p w14:paraId="4BA6CCF2" w14:textId="77777777" w:rsidR="00F73E36" w:rsidRPr="00F73E36" w:rsidRDefault="00F73E36" w:rsidP="00F73E36">
      <w:pPr>
        <w:spacing w:after="0"/>
        <w:ind w:left="4320" w:firstLine="0"/>
        <w:jc w:val="center"/>
        <w:rPr>
          <w:rFonts w:eastAsia="Times New Roman"/>
          <w:sz w:val="22"/>
          <w:szCs w:val="22"/>
        </w:rPr>
      </w:pPr>
      <w:r w:rsidRPr="00F73E36">
        <w:rPr>
          <w:rFonts w:eastAsia="Times New Roman"/>
          <w:i/>
          <w:sz w:val="22"/>
          <w:szCs w:val="22"/>
        </w:rPr>
        <w:t>Petitioners</w:t>
      </w:r>
      <w:r w:rsidRPr="00F73E36">
        <w:rPr>
          <w:rFonts w:eastAsia="Times New Roman"/>
          <w:sz w:val="22"/>
          <w:szCs w:val="22"/>
        </w:rPr>
        <w:t>,</w:t>
      </w:r>
    </w:p>
    <w:p w14:paraId="59114B23" w14:textId="77777777" w:rsidR="00F73E36" w:rsidRPr="00F73E36" w:rsidRDefault="00F73E36" w:rsidP="00F73E36">
      <w:pPr>
        <w:spacing w:after="0"/>
        <w:ind w:firstLine="0"/>
        <w:jc w:val="center"/>
        <w:rPr>
          <w:rFonts w:eastAsia="Times New Roman"/>
          <w:sz w:val="22"/>
          <w:szCs w:val="22"/>
        </w:rPr>
      </w:pPr>
      <w:r w:rsidRPr="00F73E36">
        <w:rPr>
          <w:rFonts w:eastAsia="Times New Roman"/>
          <w:sz w:val="22"/>
          <w:szCs w:val="22"/>
        </w:rPr>
        <w:t>v.</w:t>
      </w:r>
    </w:p>
    <w:p w14:paraId="077C54C9" w14:textId="77777777" w:rsidR="00F73E36" w:rsidRPr="00F73E36" w:rsidRDefault="00F73E36" w:rsidP="00F73E36">
      <w:pPr>
        <w:spacing w:after="0"/>
        <w:ind w:firstLine="0"/>
        <w:jc w:val="center"/>
        <w:rPr>
          <w:rFonts w:eastAsia="Times New Roman"/>
          <w:sz w:val="22"/>
          <w:szCs w:val="22"/>
        </w:rPr>
      </w:pPr>
      <w:r w:rsidRPr="00F73E36">
        <w:rPr>
          <w:rFonts w:eastAsia="Times New Roman"/>
          <w:smallCaps/>
          <w:sz w:val="22"/>
          <w:szCs w:val="22"/>
        </w:rPr>
        <w:t xml:space="preserve">Kevin P. </w:t>
      </w:r>
      <w:proofErr w:type="spellStart"/>
      <w:r w:rsidRPr="00F73E36">
        <w:rPr>
          <w:rFonts w:eastAsia="Times New Roman"/>
          <w:smallCaps/>
          <w:sz w:val="22"/>
          <w:szCs w:val="22"/>
        </w:rPr>
        <w:t>Bruen</w:t>
      </w:r>
      <w:proofErr w:type="spellEnd"/>
      <w:r w:rsidRPr="00F73E36">
        <w:rPr>
          <w:rFonts w:eastAsia="Times New Roman"/>
          <w:smallCaps/>
          <w:sz w:val="22"/>
          <w:szCs w:val="22"/>
        </w:rPr>
        <w:t xml:space="preserve">, in His Official Capacity as </w:t>
      </w:r>
      <w:r w:rsidRPr="00F73E36">
        <w:rPr>
          <w:rFonts w:eastAsia="Times New Roman"/>
          <w:smallCaps/>
          <w:sz w:val="22"/>
          <w:szCs w:val="22"/>
        </w:rPr>
        <w:br/>
        <w:t>Superintendent of New York State Police</w:t>
      </w:r>
      <w:r w:rsidRPr="00F73E36">
        <w:rPr>
          <w:rFonts w:eastAsia="Times New Roman"/>
          <w:sz w:val="22"/>
          <w:szCs w:val="22"/>
        </w:rPr>
        <w:t xml:space="preserve">, </w:t>
      </w:r>
      <w:r w:rsidRPr="00F73E36">
        <w:rPr>
          <w:rFonts w:eastAsia="Times New Roman"/>
          <w:i/>
          <w:sz w:val="22"/>
          <w:szCs w:val="22"/>
        </w:rPr>
        <w:t>et al.</w:t>
      </w:r>
      <w:r w:rsidRPr="00F73E36">
        <w:rPr>
          <w:rFonts w:eastAsia="Times New Roman"/>
          <w:sz w:val="22"/>
          <w:szCs w:val="22"/>
        </w:rPr>
        <w:t>,</w:t>
      </w:r>
    </w:p>
    <w:p w14:paraId="47CD590B" w14:textId="77777777" w:rsidR="00F73E36" w:rsidRPr="00F73E36" w:rsidRDefault="00F73E36" w:rsidP="00F73E36">
      <w:pPr>
        <w:spacing w:after="0"/>
        <w:ind w:left="3600" w:firstLine="720"/>
        <w:jc w:val="center"/>
        <w:rPr>
          <w:rFonts w:eastAsia="Times New Roman"/>
          <w:sz w:val="22"/>
          <w:szCs w:val="22"/>
        </w:rPr>
      </w:pPr>
      <w:r w:rsidRPr="00F73E36">
        <w:rPr>
          <w:rFonts w:eastAsia="Times New Roman"/>
          <w:i/>
          <w:sz w:val="22"/>
          <w:szCs w:val="22"/>
        </w:rPr>
        <w:t>Respondents</w:t>
      </w:r>
      <w:r w:rsidRPr="00F73E36">
        <w:rPr>
          <w:rFonts w:eastAsia="Times New Roman"/>
          <w:sz w:val="22"/>
          <w:szCs w:val="22"/>
        </w:rPr>
        <w:t>.</w:t>
      </w:r>
    </w:p>
    <w:p w14:paraId="2BDDD36A" w14:textId="77777777" w:rsidR="00F73E36" w:rsidRPr="00F73E36" w:rsidRDefault="00F73E36" w:rsidP="00F73E36">
      <w:pPr>
        <w:spacing w:after="0"/>
        <w:ind w:firstLine="0"/>
        <w:jc w:val="center"/>
        <w:rPr>
          <w:rFonts w:eastAsia="Times New Roman"/>
          <w:b/>
          <w:sz w:val="8"/>
          <w:szCs w:val="8"/>
        </w:rPr>
      </w:pPr>
      <w:r w:rsidRPr="00F73E36">
        <w:rPr>
          <w:rFonts w:eastAsia="Times New Roman"/>
          <w:b/>
          <w:sz w:val="8"/>
          <w:szCs w:val="8"/>
        </w:rPr>
        <w:t>_________________________________________________________</w:t>
      </w:r>
    </w:p>
    <w:p w14:paraId="780449DE" w14:textId="77777777" w:rsidR="00F73E36" w:rsidRPr="00F73E36" w:rsidRDefault="00F73E36" w:rsidP="00F73E36">
      <w:pPr>
        <w:spacing w:before="80" w:after="0"/>
        <w:ind w:firstLine="0"/>
        <w:jc w:val="center"/>
        <w:rPr>
          <w:rFonts w:eastAsia="Times New Roman"/>
          <w:b/>
          <w:sz w:val="22"/>
          <w:szCs w:val="22"/>
        </w:rPr>
      </w:pPr>
      <w:r w:rsidRPr="00F73E36">
        <w:rPr>
          <w:rFonts w:eastAsia="Times New Roman"/>
          <w:b/>
          <w:sz w:val="22"/>
          <w:szCs w:val="22"/>
        </w:rPr>
        <w:t xml:space="preserve">On Writ of Certiorari to the </w:t>
      </w:r>
      <w:r w:rsidRPr="00F73E36">
        <w:rPr>
          <w:rFonts w:eastAsia="Times New Roman"/>
          <w:b/>
          <w:sz w:val="22"/>
          <w:szCs w:val="22"/>
        </w:rPr>
        <w:br/>
        <w:t xml:space="preserve">United States Court of Appeals </w:t>
      </w:r>
      <w:r w:rsidRPr="00F73E36">
        <w:rPr>
          <w:rFonts w:eastAsia="Times New Roman"/>
          <w:b/>
          <w:sz w:val="22"/>
          <w:szCs w:val="22"/>
        </w:rPr>
        <w:br/>
        <w:t xml:space="preserve">for </w:t>
      </w:r>
      <w:smartTag w:uri="urn:samples-msdn-microsoft-com" w:element="M5ConnectSmartTag">
        <w:smartTagPr>
          <w:attr w:name="Value" w:val="(202) 220-9600"/>
        </w:smartTagPr>
        <w:r w:rsidRPr="00F73E36">
          <w:rPr>
            <w:rFonts w:eastAsia="Times New Roman"/>
            <w:b/>
            <w:sz w:val="22"/>
            <w:szCs w:val="22"/>
          </w:rPr>
          <w:t>the</w:t>
        </w:r>
      </w:smartTag>
      <w:r w:rsidRPr="00F73E36">
        <w:rPr>
          <w:rFonts w:eastAsia="Times New Roman"/>
          <w:b/>
          <w:sz w:val="22"/>
          <w:szCs w:val="22"/>
        </w:rPr>
        <w:t xml:space="preserve"> Second Circuit</w:t>
      </w:r>
    </w:p>
    <w:p w14:paraId="5792CAF9" w14:textId="77777777" w:rsidR="00F73E36" w:rsidRPr="00F73E36" w:rsidRDefault="00F73E36" w:rsidP="00F73E36">
      <w:pPr>
        <w:spacing w:after="0"/>
        <w:ind w:firstLine="0"/>
        <w:jc w:val="center"/>
        <w:rPr>
          <w:rFonts w:eastAsia="Times New Roman"/>
          <w:b/>
          <w:sz w:val="8"/>
          <w:szCs w:val="8"/>
        </w:rPr>
      </w:pPr>
      <w:r w:rsidRPr="00F73E36">
        <w:rPr>
          <w:rFonts w:eastAsia="Times New Roman"/>
          <w:b/>
          <w:sz w:val="8"/>
          <w:szCs w:val="8"/>
        </w:rPr>
        <w:t>_________________________________________________________</w:t>
      </w:r>
    </w:p>
    <w:p w14:paraId="3581A014" w14:textId="77777777" w:rsidR="00F73E36" w:rsidRPr="00F73E36" w:rsidRDefault="00F73E36" w:rsidP="00F73E36">
      <w:pPr>
        <w:spacing w:before="80" w:after="0"/>
        <w:ind w:firstLine="0"/>
        <w:jc w:val="center"/>
        <w:rPr>
          <w:rFonts w:eastAsia="Times New Roman"/>
          <w:bCs/>
          <w:sz w:val="22"/>
          <w:szCs w:val="22"/>
        </w:rPr>
      </w:pPr>
      <w:r w:rsidRPr="00F73E36">
        <w:rPr>
          <w:rFonts w:eastAsia="Times New Roman"/>
          <w:bCs/>
          <w:sz w:val="22"/>
          <w:szCs w:val="22"/>
        </w:rPr>
        <w:t xml:space="preserve">BRIEF OF AMICI CURIAE </w:t>
      </w:r>
      <w:r w:rsidRPr="00F73E36">
        <w:rPr>
          <w:rFonts w:eastAsia="Times New Roman"/>
          <w:bCs/>
          <w:caps/>
          <w:sz w:val="22"/>
          <w:szCs w:val="22"/>
        </w:rPr>
        <w:t xml:space="preserve">sECOND aMENDMENT fOUNDATION, </w:t>
      </w:r>
      <w:r w:rsidRPr="00F73E36">
        <w:rPr>
          <w:rFonts w:ascii="Times New Roman" w:eastAsia="Times New Roman" w:hAnsi="Times New Roman"/>
          <w:caps/>
          <w:szCs w:val="20"/>
        </w:rPr>
        <w:t>Buckeye Firearms Foundation</w:t>
      </w:r>
      <w:r w:rsidRPr="00F73E36">
        <w:rPr>
          <w:rFonts w:ascii="Times New Roman" w:eastAsia="Times New Roman" w:hAnsi="Times New Roman"/>
          <w:szCs w:val="20"/>
        </w:rPr>
        <w:t>,</w:t>
      </w:r>
      <w:r w:rsidRPr="00F73E36">
        <w:rPr>
          <w:rFonts w:eastAsia="Times New Roman"/>
          <w:bCs/>
          <w:caps/>
          <w:sz w:val="22"/>
          <w:szCs w:val="22"/>
        </w:rPr>
        <w:t xml:space="preserve"> Connecticut Citizens De</w:t>
      </w:r>
      <w:r w:rsidRPr="00F73E36">
        <w:rPr>
          <w:rFonts w:eastAsia="Times New Roman"/>
          <w:bCs/>
          <w:caps/>
          <w:sz w:val="22"/>
          <w:szCs w:val="22"/>
        </w:rPr>
        <w:softHyphen/>
        <w:t>fense League, Flo</w:t>
      </w:r>
      <w:r w:rsidRPr="00F73E36">
        <w:rPr>
          <w:rFonts w:eastAsia="Times New Roman"/>
          <w:bCs/>
          <w:caps/>
          <w:sz w:val="22"/>
          <w:szCs w:val="22"/>
        </w:rPr>
        <w:softHyphen/>
        <w:t xml:space="preserve">rida Carry, Grass Roots North Carolina, Illinois State Rifle </w:t>
      </w:r>
      <w:proofErr w:type="spellStart"/>
      <w:r w:rsidRPr="00F73E36">
        <w:rPr>
          <w:rFonts w:eastAsia="Times New Roman"/>
          <w:bCs/>
          <w:caps/>
          <w:sz w:val="22"/>
          <w:szCs w:val="22"/>
        </w:rPr>
        <w:t>Ass’n</w:t>
      </w:r>
      <w:proofErr w:type="spellEnd"/>
      <w:r w:rsidRPr="00F73E36">
        <w:rPr>
          <w:rFonts w:eastAsia="Times New Roman"/>
          <w:bCs/>
          <w:caps/>
          <w:sz w:val="22"/>
          <w:szCs w:val="22"/>
        </w:rPr>
        <w:t>, Louisiana Shoot</w:t>
      </w:r>
      <w:r w:rsidRPr="00F73E36">
        <w:rPr>
          <w:rFonts w:eastAsia="Times New Roman"/>
          <w:bCs/>
          <w:caps/>
          <w:sz w:val="22"/>
          <w:szCs w:val="22"/>
        </w:rPr>
        <w:softHyphen/>
        <w:t xml:space="preserve">ing </w:t>
      </w:r>
      <w:proofErr w:type="spellStart"/>
      <w:r w:rsidRPr="00F73E36">
        <w:rPr>
          <w:rFonts w:eastAsia="Times New Roman"/>
          <w:bCs/>
          <w:caps/>
          <w:sz w:val="22"/>
          <w:szCs w:val="22"/>
        </w:rPr>
        <w:t>As</w:t>
      </w:r>
      <w:r w:rsidRPr="00F73E36">
        <w:rPr>
          <w:rFonts w:eastAsia="Times New Roman"/>
          <w:bCs/>
          <w:caps/>
          <w:sz w:val="22"/>
          <w:szCs w:val="22"/>
        </w:rPr>
        <w:softHyphen/>
        <w:t>s’n</w:t>
      </w:r>
      <w:proofErr w:type="spellEnd"/>
      <w:r w:rsidRPr="00F73E36">
        <w:rPr>
          <w:rFonts w:eastAsia="Times New Roman"/>
          <w:bCs/>
          <w:caps/>
          <w:sz w:val="22"/>
          <w:szCs w:val="22"/>
        </w:rPr>
        <w:t>, Maryland Shall Issue, Minnesota Gun Owners Caucus, New Jersey Second Amen</w:t>
      </w:r>
      <w:r w:rsidRPr="00F73E36">
        <w:rPr>
          <w:rFonts w:eastAsia="Times New Roman"/>
          <w:bCs/>
          <w:caps/>
          <w:sz w:val="22"/>
          <w:szCs w:val="22"/>
        </w:rPr>
        <w:softHyphen/>
        <w:t>d</w:t>
      </w:r>
      <w:r w:rsidRPr="00F73E36">
        <w:rPr>
          <w:rFonts w:eastAsia="Times New Roman"/>
          <w:bCs/>
          <w:caps/>
          <w:sz w:val="22"/>
          <w:szCs w:val="22"/>
        </w:rPr>
        <w:softHyphen/>
      </w:r>
      <w:r w:rsidRPr="00F73E36">
        <w:rPr>
          <w:rFonts w:eastAsia="Times New Roman"/>
          <w:bCs/>
          <w:caps/>
          <w:sz w:val="22"/>
          <w:szCs w:val="22"/>
        </w:rPr>
        <w:softHyphen/>
      </w:r>
      <w:r w:rsidRPr="00F73E36">
        <w:rPr>
          <w:rFonts w:eastAsia="Times New Roman"/>
          <w:bCs/>
          <w:caps/>
          <w:sz w:val="22"/>
          <w:szCs w:val="22"/>
        </w:rPr>
        <w:softHyphen/>
        <w:t>ment Society, Sports</w:t>
      </w:r>
      <w:r w:rsidRPr="00F73E36">
        <w:rPr>
          <w:rFonts w:eastAsia="Times New Roman"/>
          <w:bCs/>
          <w:caps/>
          <w:sz w:val="22"/>
          <w:szCs w:val="22"/>
        </w:rPr>
        <w:softHyphen/>
        <w:t xml:space="preserve">men’s </w:t>
      </w:r>
      <w:proofErr w:type="spellStart"/>
      <w:r w:rsidRPr="00F73E36">
        <w:rPr>
          <w:rFonts w:eastAsia="Times New Roman"/>
          <w:bCs/>
          <w:caps/>
          <w:sz w:val="22"/>
          <w:szCs w:val="22"/>
        </w:rPr>
        <w:t>Ass’n</w:t>
      </w:r>
      <w:proofErr w:type="spellEnd"/>
      <w:r w:rsidRPr="00F73E36">
        <w:rPr>
          <w:rFonts w:eastAsia="Times New Roman"/>
          <w:bCs/>
          <w:caps/>
          <w:sz w:val="22"/>
          <w:szCs w:val="22"/>
        </w:rPr>
        <w:t xml:space="preserve"> for Firearms Edu</w:t>
      </w:r>
      <w:r w:rsidRPr="00F73E36">
        <w:rPr>
          <w:rFonts w:eastAsia="Times New Roman"/>
          <w:bCs/>
          <w:caps/>
          <w:sz w:val="22"/>
          <w:szCs w:val="22"/>
        </w:rPr>
        <w:softHyphen/>
        <w:t xml:space="preserve">cation, </w:t>
      </w:r>
      <w:r w:rsidRPr="00F73E36">
        <w:rPr>
          <w:rFonts w:ascii="Times New Roman" w:eastAsia="Times New Roman" w:hAnsi="Times New Roman"/>
          <w:caps/>
          <w:szCs w:val="20"/>
        </w:rPr>
        <w:t>Tenne</w:t>
      </w:r>
      <w:r w:rsidRPr="00F73E36">
        <w:rPr>
          <w:rFonts w:ascii="Times New Roman" w:eastAsia="Times New Roman" w:hAnsi="Times New Roman"/>
          <w:caps/>
          <w:szCs w:val="20"/>
        </w:rPr>
        <w:softHyphen/>
      </w:r>
      <w:r w:rsidRPr="00F73E36">
        <w:rPr>
          <w:rFonts w:ascii="Times New Roman" w:eastAsia="Times New Roman" w:hAnsi="Times New Roman"/>
          <w:caps/>
          <w:szCs w:val="20"/>
        </w:rPr>
        <w:softHyphen/>
        <w:t xml:space="preserve">ssee Firearms </w:t>
      </w:r>
      <w:proofErr w:type="spellStart"/>
      <w:r w:rsidRPr="00F73E36">
        <w:rPr>
          <w:rFonts w:ascii="Times New Roman" w:eastAsia="Times New Roman" w:hAnsi="Times New Roman"/>
          <w:caps/>
          <w:szCs w:val="20"/>
        </w:rPr>
        <w:t>Ass’n</w:t>
      </w:r>
      <w:proofErr w:type="spellEnd"/>
      <w:r w:rsidRPr="00F73E36">
        <w:rPr>
          <w:rFonts w:ascii="Times New Roman" w:eastAsia="Times New Roman" w:hAnsi="Times New Roman"/>
          <w:szCs w:val="20"/>
        </w:rPr>
        <w:t>,</w:t>
      </w:r>
      <w:r w:rsidRPr="00F73E36">
        <w:rPr>
          <w:rFonts w:eastAsia="Times New Roman"/>
          <w:bCs/>
          <w:caps/>
          <w:sz w:val="22"/>
          <w:szCs w:val="22"/>
        </w:rPr>
        <w:t xml:space="preserve"> and Vir</w:t>
      </w:r>
      <w:r w:rsidRPr="00F73E36">
        <w:rPr>
          <w:rFonts w:eastAsia="Times New Roman"/>
          <w:bCs/>
          <w:caps/>
          <w:sz w:val="22"/>
          <w:szCs w:val="22"/>
        </w:rPr>
        <w:softHyphen/>
        <w:t>ginia Citizens De</w:t>
      </w:r>
      <w:r w:rsidRPr="00F73E36">
        <w:rPr>
          <w:rFonts w:eastAsia="Times New Roman"/>
          <w:bCs/>
          <w:caps/>
          <w:sz w:val="22"/>
          <w:szCs w:val="22"/>
        </w:rPr>
        <w:softHyphen/>
      </w:r>
      <w:r w:rsidRPr="00F73E36">
        <w:rPr>
          <w:rFonts w:eastAsia="Times New Roman"/>
          <w:bCs/>
          <w:caps/>
          <w:sz w:val="22"/>
          <w:szCs w:val="22"/>
        </w:rPr>
        <w:softHyphen/>
        <w:t>fense League</w:t>
      </w:r>
      <w:r w:rsidRPr="00F73E36">
        <w:rPr>
          <w:rFonts w:eastAsia="Times New Roman"/>
          <w:bCs/>
          <w:sz w:val="22"/>
          <w:szCs w:val="22"/>
        </w:rPr>
        <w:t xml:space="preserve"> IN SUPPORT OF PETITIONERS</w:t>
      </w:r>
    </w:p>
    <w:p w14:paraId="48E6EF24" w14:textId="77777777" w:rsidR="00F73E36" w:rsidRPr="00F73E36" w:rsidRDefault="00F73E36" w:rsidP="00F73E36">
      <w:pPr>
        <w:spacing w:after="0"/>
        <w:ind w:firstLine="0"/>
        <w:jc w:val="center"/>
        <w:rPr>
          <w:rFonts w:eastAsia="Times New Roman"/>
          <w:b/>
          <w:sz w:val="8"/>
          <w:szCs w:val="8"/>
        </w:rPr>
      </w:pPr>
      <w:r w:rsidRPr="00F73E36">
        <w:rPr>
          <w:rFonts w:eastAsia="Times New Roman"/>
          <w:b/>
          <w:sz w:val="8"/>
          <w:szCs w:val="8"/>
        </w:rPr>
        <w:t>_________________________________________________________</w:t>
      </w:r>
    </w:p>
    <w:p w14:paraId="5E7103AE" w14:textId="77777777" w:rsidR="00F73E36" w:rsidRPr="00F73E36" w:rsidRDefault="00F73E36" w:rsidP="00F73E36">
      <w:pPr>
        <w:keepNext/>
        <w:keepLines/>
        <w:spacing w:before="80" w:after="0" w:line="280" w:lineRule="exact"/>
        <w:ind w:left="2707" w:firstLine="0"/>
        <w:jc w:val="left"/>
        <w:rPr>
          <w:rFonts w:eastAsia="Times New Roman"/>
          <w:smallCaps/>
          <w:sz w:val="22"/>
          <w:szCs w:val="22"/>
        </w:rPr>
      </w:pPr>
      <w:r w:rsidRPr="00F73E36">
        <w:rPr>
          <w:rFonts w:eastAsia="Times New Roman"/>
          <w:smallCaps/>
          <w:sz w:val="22"/>
          <w:szCs w:val="22"/>
        </w:rPr>
        <w:t>David H. Thompson</w:t>
      </w:r>
    </w:p>
    <w:p w14:paraId="30A70E9E" w14:textId="77777777" w:rsidR="00F73E36" w:rsidRPr="00F73E36" w:rsidRDefault="00F73E36" w:rsidP="00F73E36">
      <w:pPr>
        <w:keepNext/>
        <w:keepLines/>
        <w:spacing w:after="0" w:line="280" w:lineRule="exact"/>
        <w:ind w:left="2700" w:firstLine="0"/>
        <w:jc w:val="left"/>
        <w:rPr>
          <w:rFonts w:eastAsia="Times New Roman"/>
          <w:smallCaps/>
          <w:sz w:val="22"/>
          <w:szCs w:val="22"/>
        </w:rPr>
      </w:pPr>
      <w:r w:rsidRPr="00F73E36">
        <w:rPr>
          <w:rFonts w:eastAsia="Times New Roman"/>
          <w:i/>
          <w:sz w:val="22"/>
          <w:szCs w:val="22"/>
        </w:rPr>
        <w:t xml:space="preserve">   Counsel of Record</w:t>
      </w:r>
    </w:p>
    <w:p w14:paraId="13E8862A" w14:textId="77777777" w:rsidR="00F73E36" w:rsidRPr="00F73E36" w:rsidRDefault="00F73E36" w:rsidP="00F73E36">
      <w:pPr>
        <w:keepNext/>
        <w:keepLines/>
        <w:spacing w:after="0" w:line="280" w:lineRule="exact"/>
        <w:ind w:left="2700" w:firstLine="0"/>
        <w:jc w:val="left"/>
        <w:rPr>
          <w:rFonts w:eastAsia="Times New Roman"/>
          <w:smallCaps/>
          <w:sz w:val="22"/>
          <w:szCs w:val="22"/>
        </w:rPr>
      </w:pPr>
      <w:r w:rsidRPr="00F73E36">
        <w:rPr>
          <w:rFonts w:eastAsia="Times New Roman"/>
          <w:smallCaps/>
          <w:sz w:val="22"/>
          <w:szCs w:val="22"/>
        </w:rPr>
        <w:t>Peter A. Patterson</w:t>
      </w:r>
    </w:p>
    <w:p w14:paraId="5A6FA6AA" w14:textId="77777777" w:rsidR="00F73E36" w:rsidRPr="00F73E36" w:rsidRDefault="00F73E36" w:rsidP="00F73E36">
      <w:pPr>
        <w:keepNext/>
        <w:keepLines/>
        <w:spacing w:after="0" w:line="280" w:lineRule="exact"/>
        <w:ind w:left="2700" w:firstLine="0"/>
        <w:jc w:val="left"/>
        <w:rPr>
          <w:rFonts w:eastAsia="Times New Roman"/>
          <w:smallCaps/>
          <w:sz w:val="22"/>
          <w:szCs w:val="22"/>
        </w:rPr>
      </w:pPr>
      <w:r w:rsidRPr="00F73E36">
        <w:rPr>
          <w:rFonts w:eastAsia="Times New Roman"/>
          <w:smallCaps/>
          <w:sz w:val="22"/>
          <w:szCs w:val="22"/>
        </w:rPr>
        <w:t>Cooper &amp; Kirk, PLLC</w:t>
      </w:r>
    </w:p>
    <w:p w14:paraId="0859A473" w14:textId="77777777" w:rsidR="00F73E36" w:rsidRPr="00F73E36" w:rsidRDefault="00F73E36" w:rsidP="00F73E36">
      <w:pPr>
        <w:keepNext/>
        <w:keepLines/>
        <w:spacing w:after="0" w:line="280" w:lineRule="exact"/>
        <w:ind w:left="2700" w:right="-461" w:firstLine="0"/>
        <w:jc w:val="left"/>
        <w:rPr>
          <w:rFonts w:eastAsia="Times New Roman"/>
          <w:sz w:val="22"/>
          <w:szCs w:val="22"/>
        </w:rPr>
      </w:pPr>
      <w:r w:rsidRPr="00F73E36">
        <w:rPr>
          <w:rFonts w:eastAsia="Times New Roman"/>
          <w:sz w:val="22"/>
          <w:szCs w:val="22"/>
        </w:rPr>
        <w:t xml:space="preserve">1523 </w:t>
      </w:r>
      <w:smartTag w:uri="urn:samples-msdn-microsoft-com" w:element="M5ConnectSmartTag">
        <w:smartTagPr>
          <w:attr w:name="Value" w:val="(202) 220-9600"/>
        </w:smartTagPr>
        <w:r w:rsidRPr="00F73E36">
          <w:rPr>
            <w:rFonts w:eastAsia="Times New Roman"/>
            <w:sz w:val="22"/>
            <w:szCs w:val="22"/>
          </w:rPr>
          <w:t>New Hampshire</w:t>
        </w:r>
      </w:smartTag>
      <w:r w:rsidRPr="00F73E36">
        <w:rPr>
          <w:rFonts w:eastAsia="Times New Roman"/>
          <w:sz w:val="22"/>
          <w:szCs w:val="22"/>
        </w:rPr>
        <w:t xml:space="preserve"> Ave., N.W.</w:t>
      </w:r>
    </w:p>
    <w:p w14:paraId="72067756" w14:textId="77777777" w:rsidR="00F73E36" w:rsidRPr="00F73E36" w:rsidRDefault="00F73E36" w:rsidP="00F73E36">
      <w:pPr>
        <w:keepNext/>
        <w:keepLines/>
        <w:spacing w:after="0" w:line="280" w:lineRule="exact"/>
        <w:ind w:left="2700" w:firstLine="0"/>
        <w:jc w:val="left"/>
        <w:rPr>
          <w:rFonts w:eastAsia="Times New Roman"/>
          <w:smallCaps/>
          <w:sz w:val="22"/>
          <w:szCs w:val="22"/>
        </w:rPr>
      </w:pPr>
      <w:smartTag w:uri="urn:samples-msdn-microsoft-com" w:element="M5ConnectSmartTag">
        <w:smartTagPr>
          <w:attr w:name="Value" w:val="(202) 220-9600"/>
        </w:smartTagPr>
        <w:r w:rsidRPr="00F73E36">
          <w:rPr>
            <w:rFonts w:eastAsia="Times New Roman"/>
            <w:sz w:val="22"/>
            <w:szCs w:val="22"/>
          </w:rPr>
          <w:t xml:space="preserve">Washington, </w:t>
        </w:r>
        <w:smartTag w:uri="urn:samples-msdn-microsoft-com" w:element="M5ConnectSmartTag">
          <w:smartTagPr>
            <w:attr w:name="Value" w:val="(202) 220-9600"/>
          </w:smartTagPr>
          <w:r w:rsidRPr="00F73E36">
            <w:rPr>
              <w:rFonts w:eastAsia="Times New Roman"/>
              <w:sz w:val="22"/>
              <w:szCs w:val="22"/>
            </w:rPr>
            <w:t>D.C.</w:t>
          </w:r>
        </w:smartTag>
        <w:r w:rsidRPr="00F73E36">
          <w:rPr>
            <w:rFonts w:eastAsia="Times New Roman"/>
            <w:sz w:val="22"/>
            <w:szCs w:val="22"/>
          </w:rPr>
          <w:t xml:space="preserve"> </w:t>
        </w:r>
        <w:smartTag w:uri="urn:samples-msdn-microsoft-com" w:element="M5ConnectSmartTag">
          <w:smartTagPr>
            <w:attr w:name="Value" w:val="(202) 220-9600"/>
          </w:smartTagPr>
          <w:r w:rsidRPr="00F73E36">
            <w:rPr>
              <w:rFonts w:eastAsia="Times New Roman"/>
              <w:sz w:val="22"/>
              <w:szCs w:val="22"/>
            </w:rPr>
            <w:t>20036</w:t>
          </w:r>
        </w:smartTag>
      </w:smartTag>
    </w:p>
    <w:p w14:paraId="7D1D1AD8" w14:textId="77777777" w:rsidR="00F73E36" w:rsidRPr="00F73E36" w:rsidRDefault="00F73E36" w:rsidP="00F73E36">
      <w:pPr>
        <w:spacing w:after="0" w:line="280" w:lineRule="exact"/>
        <w:ind w:left="2700" w:firstLine="0"/>
        <w:jc w:val="left"/>
        <w:rPr>
          <w:rFonts w:eastAsia="Times New Roman"/>
          <w:smallCaps/>
          <w:sz w:val="22"/>
          <w:szCs w:val="22"/>
        </w:rPr>
      </w:pPr>
      <w:smartTag w:uri="urn:samples-msdn-microsoft-com" w:element="M5ConnectSmartTag">
        <w:smartTagPr>
          <w:attr w:name="Value" w:val="(202) 220-9600"/>
        </w:smartTagPr>
        <w:r w:rsidRPr="00F73E36">
          <w:rPr>
            <w:rFonts w:eastAsia="Times New Roman"/>
            <w:sz w:val="22"/>
            <w:szCs w:val="22"/>
          </w:rPr>
          <w:t>(202) 220-9600</w:t>
        </w:r>
      </w:smartTag>
    </w:p>
    <w:p w14:paraId="609BD35E" w14:textId="77777777" w:rsidR="00F73E36" w:rsidRPr="00F73E36" w:rsidRDefault="00F73E36" w:rsidP="00F73E36">
      <w:pPr>
        <w:keepNext/>
        <w:keepLines/>
        <w:spacing w:after="0"/>
        <w:ind w:left="2707" w:firstLine="0"/>
        <w:jc w:val="left"/>
        <w:rPr>
          <w:rFonts w:eastAsia="Times New Roman"/>
          <w:sz w:val="22"/>
          <w:szCs w:val="22"/>
        </w:rPr>
      </w:pPr>
      <w:hyperlink r:id="rId11" w:history="1">
        <w:r w:rsidRPr="00F73E36">
          <w:rPr>
            <w:rFonts w:eastAsia="Times New Roman"/>
            <w:sz w:val="22"/>
            <w:szCs w:val="22"/>
          </w:rPr>
          <w:t>dthompson@cooperkirk.com</w:t>
        </w:r>
      </w:hyperlink>
    </w:p>
    <w:p w14:paraId="5508A393" w14:textId="77777777" w:rsidR="00F73E36" w:rsidRPr="00F73E36" w:rsidRDefault="00F73E36" w:rsidP="00F73E36">
      <w:pPr>
        <w:keepNext/>
        <w:keepLines/>
        <w:spacing w:after="0"/>
        <w:ind w:firstLine="0"/>
        <w:jc w:val="left"/>
        <w:rPr>
          <w:rFonts w:eastAsia="Times New Roman"/>
          <w:sz w:val="22"/>
          <w:szCs w:val="22"/>
        </w:rPr>
      </w:pPr>
      <w:r w:rsidRPr="00F73E36">
        <w:rPr>
          <w:rFonts w:eastAsia="Times New Roman"/>
          <w:sz w:val="22"/>
          <w:szCs w:val="22"/>
        </w:rPr>
        <w:t>July 20, 2021</w:t>
      </w:r>
    </w:p>
    <w:p w14:paraId="477823DB" w14:textId="77777777" w:rsidR="00F73E36" w:rsidRPr="00F73E36" w:rsidRDefault="00F73E36" w:rsidP="00F73E36">
      <w:pPr>
        <w:spacing w:after="0"/>
        <w:ind w:firstLine="0"/>
        <w:jc w:val="left"/>
        <w:rPr>
          <w:rFonts w:eastAsia="Times New Roman"/>
          <w:b/>
          <w:sz w:val="16"/>
          <w:szCs w:val="16"/>
          <w:u w:val="double"/>
          <w14:textOutline w14:w="9525" w14:cap="rnd" w14:cmpd="thickThin" w14:algn="ctr">
            <w14:solidFill>
              <w14:srgbClr w14:val="000000"/>
            </w14:solidFill>
            <w14:prstDash w14:val="solid"/>
            <w14:bevel/>
          </w14:textOutline>
        </w:rPr>
      </w:pPr>
      <w:r w:rsidRPr="00F73E36">
        <w:rPr>
          <w:rFonts w:eastAsia="Times New Roman"/>
          <w:b/>
          <w:noProof/>
          <w:sz w:val="16"/>
          <w:szCs w:val="16"/>
          <w:u w:val="double"/>
          <w14:textOutline w14:w="9525" w14:cap="rnd" w14:cmpd="thickThin" w14:algn="ctr">
            <w14:solidFill>
              <w14:srgbClr w14:val="000000"/>
            </w14:solidFill>
            <w14:prstDash w14:val="solid"/>
            <w14:bevel/>
          </w14:textOutline>
        </w:rPr>
        <mc:AlternateContent>
          <mc:Choice Requires="wps">
            <w:drawing>
              <wp:anchor distT="0" distB="0" distL="114300" distR="114300" simplePos="0" relativeHeight="251660288" behindDoc="0" locked="0" layoutInCell="1" allowOverlap="1" wp14:anchorId="70C4B43D" wp14:editId="45437182">
                <wp:simplePos x="0" y="0"/>
                <wp:positionH relativeFrom="column">
                  <wp:align>center</wp:align>
                </wp:positionH>
                <wp:positionV relativeFrom="paragraph">
                  <wp:posOffset>80010</wp:posOffset>
                </wp:positionV>
                <wp:extent cx="37490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a:off x="0" y="0"/>
                          <a:ext cx="3749040" cy="0"/>
                        </a:xfrm>
                        <a:prstGeom prst="line">
                          <a:avLst/>
                        </a:prstGeom>
                        <a:noFill/>
                        <a:ln w="57150" cap="flat" cmpd="dbl"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4A5CF7AF"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6.3pt" to="29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" strokecolor="windowText" strokeweight="4.5pt">
                <v:stroke linestyle="thinThin"/>
              </v:line>
            </w:pict>
          </mc:Fallback>
        </mc:AlternateContent>
      </w:r>
    </w:p>
    <w:p w14:paraId="1CB3F76A" w14:textId="7B8E6AAA" w:rsidR="00BD63D7" w:rsidRDefault="00940FAC" w:rsidP="00E839AB">
      <w:pPr>
        <w:pStyle w:val="Heading1"/>
      </w:pPr>
      <w:r>
        <w:lastRenderedPageBreak/>
        <w:t>Interest of Amici Curiae</w:t>
      </w:r>
      <w:r w:rsidR="00D2696D">
        <w:rPr>
          <w:rStyle w:val="FootnoteReference"/>
        </w:rPr>
        <w:footnoteReference w:id="2"/>
      </w:r>
    </w:p>
    <w:p w14:paraId="2E0B6BE5" w14:textId="1DEACA67" w:rsidR="00D2696D" w:rsidRDefault="00D2696D" w:rsidP="00940FAC">
      <w:r>
        <w:t xml:space="preserve">The </w:t>
      </w:r>
      <w:r w:rsidRPr="00D2696D">
        <w:t>Second Amendment Foundation, Inc.,</w:t>
      </w:r>
      <w:r>
        <w:t xml:space="preserve"> (“</w:t>
      </w:r>
      <w:proofErr w:type="spellStart"/>
      <w:r>
        <w:t>SAF</w:t>
      </w:r>
      <w:proofErr w:type="spellEnd"/>
      <w:r>
        <w:t>”)</w:t>
      </w:r>
      <w:r w:rsidRPr="00D2696D">
        <w:t xml:space="preserve"> is a non-profit membership organization </w:t>
      </w:r>
      <w:r>
        <w:t>with</w:t>
      </w:r>
      <w:r w:rsidRPr="00D2696D">
        <w:t xml:space="preserve"> over </w:t>
      </w:r>
      <w:r w:rsidR="00663223">
        <w:t>700,000</w:t>
      </w:r>
      <w:r w:rsidR="00E375F7">
        <w:t xml:space="preserve"> </w:t>
      </w:r>
      <w:r w:rsidRPr="00D2696D">
        <w:t>members</w:t>
      </w:r>
      <w:r w:rsidR="00663223">
        <w:t xml:space="preserve"> and supporters</w:t>
      </w:r>
      <w:r>
        <w:t>, in every State of the Union</w:t>
      </w:r>
      <w:r w:rsidRPr="00D2696D">
        <w:t xml:space="preserve">. </w:t>
      </w:r>
      <w:r>
        <w:t xml:space="preserve">Its purposes </w:t>
      </w:r>
      <w:r w:rsidRPr="00D2696D">
        <w:t>include education, research, publishing</w:t>
      </w:r>
      <w:r w:rsidR="00E71A30">
        <w:t>,</w:t>
      </w:r>
      <w:r w:rsidRPr="00D2696D">
        <w:t xml:space="preserve"> and legal action focusing on the Constitutional right to keep and bear arms. </w:t>
      </w:r>
      <w:proofErr w:type="spellStart"/>
      <w:r>
        <w:t>SAF</w:t>
      </w:r>
      <w:proofErr w:type="spellEnd"/>
      <w:r>
        <w:t xml:space="preserve"> has an intense interest in this case because it has many members residing in States like New York that enforce “proper-cause”-type licensing regimes that effectively ban them from carrying firearms for self-defense outside the home.</w:t>
      </w:r>
    </w:p>
    <w:p w14:paraId="01A67179" w14:textId="52C7AB50" w:rsidR="00940FAC" w:rsidRDefault="00D2696D" w:rsidP="00940FAC">
      <w:proofErr w:type="spellStart"/>
      <w:r>
        <w:t>SAF</w:t>
      </w:r>
      <w:proofErr w:type="spellEnd"/>
      <w:r>
        <w:t xml:space="preserve"> is joined in this </w:t>
      </w:r>
      <w:r w:rsidR="00CE72CF">
        <w:t>brief</w:t>
      </w:r>
      <w:r>
        <w:t xml:space="preserve"> by</w:t>
      </w:r>
      <w:r w:rsidR="00B02E77" w:rsidRPr="00B02E77">
        <w:t xml:space="preserve"> </w:t>
      </w:r>
      <w:r w:rsidR="00663223">
        <w:t xml:space="preserve">Buckeye Firearms Foundation, </w:t>
      </w:r>
      <w:r w:rsidR="00B02E77" w:rsidRPr="00B02E77">
        <w:t>Connecticut Citizens Defense League</w:t>
      </w:r>
      <w:r w:rsidR="00B02E77">
        <w:t>,</w:t>
      </w:r>
      <w:r>
        <w:t xml:space="preserve"> Florida Carry,</w:t>
      </w:r>
      <w:r w:rsidR="00B02E77" w:rsidRPr="00B02E77">
        <w:t xml:space="preserve"> Grass Roots North Carolina</w:t>
      </w:r>
      <w:r w:rsidR="00B02E77">
        <w:t xml:space="preserve">, Illinois State Rifle Association, </w:t>
      </w:r>
      <w:r w:rsidR="00B02E77" w:rsidRPr="00B02E77">
        <w:t>Louisiana Shooting Association</w:t>
      </w:r>
      <w:r w:rsidR="00B02E77">
        <w:t xml:space="preserve">, </w:t>
      </w:r>
      <w:r w:rsidR="00A241CA">
        <w:t xml:space="preserve">Maryland Shall Issue, </w:t>
      </w:r>
      <w:r w:rsidR="00B02E77" w:rsidRPr="00B02E77">
        <w:t>Minnesota Gun Owners Caucus</w:t>
      </w:r>
      <w:r w:rsidR="00B02E77">
        <w:t xml:space="preserve">, </w:t>
      </w:r>
      <w:r w:rsidR="00663223">
        <w:t xml:space="preserve">New Jersey Second Amendment Society, </w:t>
      </w:r>
      <w:r w:rsidR="00B02E77" w:rsidRPr="00B02E77">
        <w:t>Sportsmen’</w:t>
      </w:r>
      <w:r w:rsidR="00CE72CF">
        <w:t>s</w:t>
      </w:r>
      <w:r w:rsidR="00B02E77" w:rsidRPr="00B02E77">
        <w:t xml:space="preserve"> Association for Firearms Education</w:t>
      </w:r>
      <w:r w:rsidR="00B02E77">
        <w:t>,</w:t>
      </w:r>
      <w:r w:rsidR="00663223">
        <w:t xml:space="preserve"> Tennessee Firearms Association,</w:t>
      </w:r>
      <w:r w:rsidR="00B02E77">
        <w:t xml:space="preserve"> and </w:t>
      </w:r>
      <w:r w:rsidR="00B02E77" w:rsidRPr="00B02E77">
        <w:t>Virginia Citizens Defense League</w:t>
      </w:r>
      <w:r w:rsidR="008D763A">
        <w:t xml:space="preserve">. Each of these non-profit associations, like </w:t>
      </w:r>
      <w:proofErr w:type="spellStart"/>
      <w:r w:rsidR="008D763A">
        <w:t>SAF</w:t>
      </w:r>
      <w:proofErr w:type="spellEnd"/>
      <w:r w:rsidR="008D763A">
        <w:t xml:space="preserve">, is organized for the purpose of defending the </w:t>
      </w:r>
      <w:r w:rsidR="008D763A">
        <w:lastRenderedPageBreak/>
        <w:t xml:space="preserve">constitutional right to keep and bear arms, and each is </w:t>
      </w:r>
      <w:r>
        <w:t>also deeply interested in the outcome of this case.</w:t>
      </w:r>
    </w:p>
    <w:p w14:paraId="5F1E1024" w14:textId="3D7D7E4A" w:rsidR="00940FAC" w:rsidRDefault="00940FAC" w:rsidP="00E839AB">
      <w:pPr>
        <w:pStyle w:val="Heading1"/>
      </w:pPr>
      <w:r>
        <w:t>Introduction</w:t>
      </w:r>
      <w:r w:rsidR="004F307B">
        <w:t xml:space="preserve"> and </w:t>
      </w:r>
      <w:r w:rsidR="004F307B">
        <w:br/>
        <w:t>Summary of Argument</w:t>
      </w:r>
    </w:p>
    <w:p w14:paraId="1B22CD8A" w14:textId="34E4421D" w:rsidR="00345CD6" w:rsidRDefault="00FD13EF" w:rsidP="00940FAC">
      <w:r>
        <w:t xml:space="preserve">In </w:t>
      </w:r>
      <w:r>
        <w:rPr>
          <w:i/>
          <w:iCs/>
        </w:rPr>
        <w:t>District of Columbia v. Heller</w:t>
      </w:r>
      <w:r>
        <w:t xml:space="preserve">, this Court held that the Second Amendment guarantees “the individual right to possess and carry weapons in case of confrontation,” and that the test for determining whether a governmental restriction falls afoul of that right is to measure the restriction against the Second Amendment’s </w:t>
      </w:r>
      <w:r w:rsidRPr="00D56667">
        <w:t>text</w:t>
      </w:r>
      <w:r>
        <w:t xml:space="preserve"> as understood by “</w:t>
      </w:r>
      <w:r w:rsidRPr="00FD13EF">
        <w:t>ordinary citizens in the founding generation</w:t>
      </w:r>
      <w:r>
        <w:t xml:space="preserve">,” as well as </w:t>
      </w:r>
      <w:r w:rsidR="009A4DD4">
        <w:t>F</w:t>
      </w:r>
      <w:r>
        <w:t>ounding-</w:t>
      </w:r>
      <w:r w:rsidR="009A4DD4">
        <w:t>E</w:t>
      </w:r>
      <w:r>
        <w:t xml:space="preserve">ra </w:t>
      </w:r>
      <w:r>
        <w:rPr>
          <w:i/>
          <w:iCs/>
        </w:rPr>
        <w:t xml:space="preserve">history </w:t>
      </w:r>
      <w:r>
        <w:t>bearing on “the public understa</w:t>
      </w:r>
      <w:r w:rsidR="009A4DD4">
        <w:t>nd</w:t>
      </w:r>
      <w:r>
        <w:t xml:space="preserve">ing” of the “pre-existing right” the Amendment was adopted to protect. 554 U.S. 570, </w:t>
      </w:r>
      <w:r w:rsidR="00AD0A4E">
        <w:t xml:space="preserve">577, </w:t>
      </w:r>
      <w:r>
        <w:t>592, 605 (2008) (emphases omitted).</w:t>
      </w:r>
      <w:r w:rsidR="004279A3">
        <w:t xml:space="preserve"> The plain text of the Second Amendment addresses with perfect clarity the question whether the government may effectively ban ordinary, law-abiding adults from carrying firearms outside the home</w:t>
      </w:r>
      <w:r w:rsidR="00527BC1">
        <w:t>, by protecting</w:t>
      </w:r>
      <w:r w:rsidR="004279A3">
        <w:t xml:space="preserve"> the right </w:t>
      </w:r>
      <w:r w:rsidR="004279A3" w:rsidRPr="004279A3">
        <w:t xml:space="preserve">to </w:t>
      </w:r>
      <w:r w:rsidR="004279A3">
        <w:t>“</w:t>
      </w:r>
      <w:r w:rsidR="004279A3" w:rsidRPr="004279A3">
        <w:t>bear</w:t>
      </w:r>
      <w:r w:rsidR="004279A3">
        <w:t xml:space="preserve">” arms </w:t>
      </w:r>
      <w:r w:rsidR="004279A3">
        <w:rPr>
          <w:i/>
          <w:iCs/>
        </w:rPr>
        <w:t xml:space="preserve">in addition to </w:t>
      </w:r>
      <w:r w:rsidR="004279A3">
        <w:t>the right to “keep” them</w:t>
      </w:r>
      <w:r w:rsidR="0098213D">
        <w:t xml:space="preserve">. </w:t>
      </w:r>
      <w:r w:rsidR="004279A3" w:rsidRPr="004279A3">
        <w:rPr>
          <w:smallCaps/>
        </w:rPr>
        <w:t>U.S. Const.</w:t>
      </w:r>
      <w:r w:rsidR="004279A3">
        <w:t xml:space="preserve"> amend. II.</w:t>
      </w:r>
      <w:r w:rsidR="00D55FC4">
        <w:t xml:space="preserve"> </w:t>
      </w:r>
      <w:r w:rsidR="001134B5">
        <w:t>And</w:t>
      </w:r>
      <w:r w:rsidR="00A16100">
        <w:t xml:space="preserve"> </w:t>
      </w:r>
      <w:r w:rsidR="00C9751E">
        <w:t xml:space="preserve">American history answers this question just as unequivocally as the text itself. </w:t>
      </w:r>
    </w:p>
    <w:p w14:paraId="556DEA87" w14:textId="44BE7F16" w:rsidR="004F307B" w:rsidRDefault="00C9751E" w:rsidP="00940FAC">
      <w:r>
        <w:t>From Independence through the end of the Civil War, no State imposed a broad ban prohibiting the carrying of firearms in any manner—</w:t>
      </w:r>
      <w:proofErr w:type="gramStart"/>
      <w:r>
        <w:t>with the exception of</w:t>
      </w:r>
      <w:proofErr w:type="gramEnd"/>
      <w:r>
        <w:t xml:space="preserve"> two nineteenth-century laws in Georgia and Tennessee that were </w:t>
      </w:r>
      <w:r>
        <w:rPr>
          <w:i/>
          <w:iCs/>
        </w:rPr>
        <w:t>partially struck down</w:t>
      </w:r>
      <w:r>
        <w:t xml:space="preserve"> as </w:t>
      </w:r>
      <w:r>
        <w:rPr>
          <w:i/>
          <w:iCs/>
        </w:rPr>
        <w:t>inconsistent with the right to bear arms</w:t>
      </w:r>
      <w:r>
        <w:t xml:space="preserve">. </w:t>
      </w:r>
      <w:r w:rsidR="004F307B">
        <w:t>By</w:t>
      </w:r>
      <w:r w:rsidR="00345CD6">
        <w:t xml:space="preserve"> the time of the Second Amendment’s ratification, ten States do not </w:t>
      </w:r>
      <w:r w:rsidR="00345CD6">
        <w:lastRenderedPageBreak/>
        <w:t>appear to have</w:t>
      </w:r>
      <w:r w:rsidR="00AC31B8">
        <w:t xml:space="preserve"> enacted statutory</w:t>
      </w:r>
      <w:r w:rsidR="00345CD6">
        <w:t xml:space="preserve"> restrict</w:t>
      </w:r>
      <w:r w:rsidR="00AC31B8">
        <w:t>ions on</w:t>
      </w:r>
      <w:r w:rsidR="00345CD6">
        <w:t xml:space="preserve"> the public carrying of firearms by law-abiding citizens </w:t>
      </w:r>
      <w:r w:rsidR="00345CD6">
        <w:rPr>
          <w:i/>
          <w:iCs/>
        </w:rPr>
        <w:t>at all</w:t>
      </w:r>
      <w:r w:rsidR="00345CD6">
        <w:t xml:space="preserve">—and the remaining three merely imposed </w:t>
      </w:r>
      <w:r w:rsidR="004F307B">
        <w:t xml:space="preserve">Americanized versions of the English Statute of Northampton, which (as in England) were understood to restrict only the carrying of firearms for a malicious purpose or in a particularly terrorizing manner. </w:t>
      </w:r>
      <w:r w:rsidR="009F59FD">
        <w:t xml:space="preserve">While some have attempted to read these statutes as a general ban on carrying firearms in public, </w:t>
      </w:r>
      <w:r w:rsidR="00AB0C7C">
        <w:t xml:space="preserve">the text of these statutes and </w:t>
      </w:r>
      <w:r w:rsidR="009F59FD">
        <w:t xml:space="preserve">the historical record conclusively refute that revisionist interpretation. Indeed, the many Founders—including the first </w:t>
      </w:r>
      <w:r w:rsidR="008D3A7F">
        <w:t xml:space="preserve">six </w:t>
      </w:r>
      <w:r w:rsidR="009F59FD">
        <w:t xml:space="preserve">Presidents—who routinely carried arms outside the home would surely have been surprised to learn that doing so made them all </w:t>
      </w:r>
      <w:r w:rsidR="008D3A7F">
        <w:t xml:space="preserve">habitual </w:t>
      </w:r>
      <w:r w:rsidR="002C319C">
        <w:t>criminals</w:t>
      </w:r>
      <w:r w:rsidR="009F59FD">
        <w:t>.</w:t>
      </w:r>
    </w:p>
    <w:p w14:paraId="19FFED5F" w14:textId="6BCEBEF3" w:rsidR="009F59FD" w:rsidRPr="00885E0F" w:rsidRDefault="000F29E9" w:rsidP="009F59FD">
      <w:r>
        <w:t xml:space="preserve">Throughout the eighteenth and nineteenth centuries, Americans continued to routinely carry arms for lawful purposes. </w:t>
      </w:r>
      <w:r w:rsidR="00345CD6">
        <w:t xml:space="preserve">Beginning in 1836, </w:t>
      </w:r>
      <w:proofErr w:type="gramStart"/>
      <w:r w:rsidR="00345CD6">
        <w:t>a number of</w:t>
      </w:r>
      <w:proofErr w:type="gramEnd"/>
      <w:r w:rsidR="00345CD6">
        <w:t xml:space="preserve"> States began enacting laws requiring some individuals to post a bond or “surety” before carrying arms—</w:t>
      </w:r>
      <w:r w:rsidR="004F307B">
        <w:t>but these applied only upon a complaint that the individual posed a reasonable threat to public safety, only after the individual had an opportunity to present evidence in his defense, and only after a judge concluded the threat to public safety was a real one.</w:t>
      </w:r>
      <w:r w:rsidR="00183D52">
        <w:t xml:space="preserve"> Even for this limited subset of the population, thes</w:t>
      </w:r>
      <w:r w:rsidR="00507EC3">
        <w:t>e individuals were</w:t>
      </w:r>
      <w:r>
        <w:t xml:space="preserve"> still</w:t>
      </w:r>
      <w:r w:rsidR="00507EC3">
        <w:t xml:space="preserve"> allowed to carry firearms provided they posted a bond.</w:t>
      </w:r>
      <w:r w:rsidR="004F307B">
        <w:t xml:space="preserve"> </w:t>
      </w:r>
      <w:r w:rsidR="009F59FD">
        <w:t xml:space="preserve">These laws </w:t>
      </w:r>
      <w:r w:rsidR="009F59FD">
        <w:rPr>
          <w:i/>
          <w:iCs/>
        </w:rPr>
        <w:t xml:space="preserve">did not </w:t>
      </w:r>
      <w:r w:rsidR="009F59FD">
        <w:t>broadly ban public carry</w:t>
      </w:r>
      <w:r w:rsidR="00E375F7">
        <w:t>.</w:t>
      </w:r>
      <w:r w:rsidR="009F59FD">
        <w:t xml:space="preserve"> </w:t>
      </w:r>
      <w:r w:rsidR="00E375F7">
        <w:t>In f</w:t>
      </w:r>
      <w:r w:rsidR="009F59FD">
        <w:t>act</w:t>
      </w:r>
      <w:r w:rsidR="00E375F7">
        <w:t>,</w:t>
      </w:r>
      <w:r w:rsidR="009F59FD">
        <w:t xml:space="preserve"> their enactment confirms that the Northampton-style prohibition—in place in many of the same states that later imposed a surety </w:t>
      </w:r>
      <w:r w:rsidR="009F59FD">
        <w:lastRenderedPageBreak/>
        <w:t>requirement—plainly cannot have been understood as a general ban on carrying arms</w:t>
      </w:r>
      <w:r w:rsidR="00E375F7">
        <w:t>.</w:t>
      </w:r>
      <w:r w:rsidR="009F59FD">
        <w:t xml:space="preserve"> </w:t>
      </w:r>
      <w:r w:rsidR="00E375F7">
        <w:t>For</w:t>
      </w:r>
      <w:r w:rsidR="009F59FD">
        <w:t xml:space="preserve"> under that </w:t>
      </w:r>
      <w:r w:rsidR="00E375F7">
        <w:t>interpretation</w:t>
      </w:r>
      <w:r w:rsidR="009F59FD">
        <w:t xml:space="preserve">, the effect of </w:t>
      </w:r>
      <w:r w:rsidR="00E375F7">
        <w:t>enacting a surety-type law</w:t>
      </w:r>
      <w:r w:rsidR="009F59FD">
        <w:t xml:space="preserve"> </w:t>
      </w:r>
      <w:r w:rsidR="00E375F7">
        <w:t xml:space="preserve">in these States would have been to allow </w:t>
      </w:r>
      <w:r w:rsidR="00E375F7">
        <w:rPr>
          <w:i/>
          <w:iCs/>
        </w:rPr>
        <w:t xml:space="preserve">only those reasonably accused of posing a threat to public safety </w:t>
      </w:r>
      <w:r w:rsidR="00E375F7">
        <w:t>to carry arms</w:t>
      </w:r>
      <w:r w:rsidR="009F59FD">
        <w:t>.</w:t>
      </w:r>
    </w:p>
    <w:p w14:paraId="0895B84A" w14:textId="58CDC619" w:rsidR="004279A3" w:rsidRDefault="00C56BE5" w:rsidP="00940FAC">
      <w:r>
        <w:t xml:space="preserve">And the other type of restriction that began to emerge in the </w:t>
      </w:r>
      <w:r w:rsidR="00AB0C7C">
        <w:t>early</w:t>
      </w:r>
      <w:r>
        <w:t xml:space="preserve">-nineteenth century—restrictions on carrying arms in a </w:t>
      </w:r>
      <w:r>
        <w:rPr>
          <w:i/>
          <w:iCs/>
        </w:rPr>
        <w:t xml:space="preserve">concealed </w:t>
      </w:r>
      <w:r>
        <w:t xml:space="preserve">manner, which was </w:t>
      </w:r>
      <w:r w:rsidR="000F29E9">
        <w:t xml:space="preserve">then </w:t>
      </w:r>
      <w:r>
        <w:t xml:space="preserve">considered </w:t>
      </w:r>
      <w:r w:rsidR="0070364B">
        <w:t xml:space="preserve">by some to be </w:t>
      </w:r>
      <w:r>
        <w:t xml:space="preserve">particularly </w:t>
      </w:r>
      <w:r w:rsidR="000F29E9">
        <w:t>dishonorable</w:t>
      </w:r>
      <w:r>
        <w:t xml:space="preserve">—left people free to carry firearms </w:t>
      </w:r>
      <w:r>
        <w:rPr>
          <w:i/>
          <w:iCs/>
        </w:rPr>
        <w:t>openly</w:t>
      </w:r>
      <w:r>
        <w:t xml:space="preserve"> (and were only upheld as constitutional because they did). </w:t>
      </w:r>
      <w:r w:rsidR="000F29E9">
        <w:t xml:space="preserve">In </w:t>
      </w:r>
      <w:r w:rsidR="000F29E9">
        <w:rPr>
          <w:i/>
          <w:iCs/>
        </w:rPr>
        <w:t xml:space="preserve">every </w:t>
      </w:r>
      <w:r w:rsidR="000F29E9">
        <w:t>State, ordinary</w:t>
      </w:r>
      <w:r w:rsidR="00E52855">
        <w:t>,</w:t>
      </w:r>
      <w:r w:rsidR="000F29E9">
        <w:t xml:space="preserve"> law-abiding</w:t>
      </w:r>
      <w:r>
        <w:t xml:space="preserve"> citizens retained the unfettered right to carry arms for lawful purposes in at least some appropriate manner.</w:t>
      </w:r>
      <w:r w:rsidR="00CE72CF">
        <w:t xml:space="preserve"> </w:t>
      </w:r>
    </w:p>
    <w:p w14:paraId="036AFCCC" w14:textId="50229DEC" w:rsidR="00C56BE5" w:rsidRPr="00C56BE5" w:rsidRDefault="00C56BE5" w:rsidP="00940FAC">
      <w:r>
        <w:t>The record from ever</w:t>
      </w:r>
      <w:r w:rsidR="007229E0">
        <w:t>y</w:t>
      </w:r>
      <w:r>
        <w:t xml:space="preserve"> relevant period of American history </w:t>
      </w:r>
      <w:r w:rsidR="004F307B">
        <w:t xml:space="preserve">thus </w:t>
      </w:r>
      <w:r>
        <w:t xml:space="preserve">could not be more clear: while the government may bar people from carrying firearms for </w:t>
      </w:r>
      <w:r>
        <w:rPr>
          <w:i/>
          <w:iCs/>
        </w:rPr>
        <w:t xml:space="preserve">unlawful and violent </w:t>
      </w:r>
      <w:r>
        <w:t>purposes, and may impose regulations</w:t>
      </w:r>
      <w:r w:rsidR="000D1215">
        <w:t xml:space="preserve"> on the mode of carrying (open vs. concealed)</w:t>
      </w:r>
      <w:r>
        <w:t xml:space="preserve">, it </w:t>
      </w:r>
      <w:r>
        <w:rPr>
          <w:i/>
          <w:iCs/>
        </w:rPr>
        <w:t>may not</w:t>
      </w:r>
      <w:r>
        <w:t xml:space="preserve"> enforce a law “</w:t>
      </w:r>
      <w:r w:rsidRPr="00C56BE5">
        <w:t xml:space="preserve">which, under the </w:t>
      </w:r>
      <w:proofErr w:type="spellStart"/>
      <w:r w:rsidRPr="00C56BE5">
        <w:t>pretence</w:t>
      </w:r>
      <w:proofErr w:type="spellEnd"/>
      <w:r w:rsidRPr="00C56BE5">
        <w:t xml:space="preserve"> of regulating, amounts to a destruction of the right, or which requires arms to be so borne as to render them wholly useless for the purpose of </w:t>
      </w:r>
      <w:proofErr w:type="spellStart"/>
      <w:r w:rsidRPr="00C56BE5">
        <w:t>defence</w:t>
      </w:r>
      <w:proofErr w:type="spellEnd"/>
      <w:r>
        <w:t xml:space="preserve">.” </w:t>
      </w:r>
      <w:r w:rsidRPr="00C56BE5">
        <w:rPr>
          <w:i/>
          <w:iCs/>
        </w:rPr>
        <w:t>State v. Reid</w:t>
      </w:r>
      <w:r w:rsidRPr="00C56BE5">
        <w:t>, 1 Ala. 612, 616 (1840)</w:t>
      </w:r>
      <w:r>
        <w:t xml:space="preserve">. </w:t>
      </w:r>
    </w:p>
    <w:p w14:paraId="30243048" w14:textId="0BCB256B" w:rsidR="00940FAC" w:rsidRDefault="00940FAC" w:rsidP="00CB4F80">
      <w:pPr>
        <w:pStyle w:val="Heading1"/>
        <w:keepNext/>
        <w:keepLines/>
      </w:pPr>
      <w:r>
        <w:lastRenderedPageBreak/>
        <w:t>Argument</w:t>
      </w:r>
    </w:p>
    <w:p w14:paraId="21367098" w14:textId="26C26128" w:rsidR="00A95161" w:rsidRDefault="00910155" w:rsidP="00CB4F80">
      <w:pPr>
        <w:pStyle w:val="Heading2"/>
        <w:keepNext/>
        <w:keepLines/>
      </w:pPr>
      <w:r>
        <w:t xml:space="preserve">The right to carry firearms was widely enjoyed and protected in </w:t>
      </w:r>
      <w:r w:rsidR="008D763A">
        <w:t>F</w:t>
      </w:r>
      <w:r>
        <w:t>ounding-</w:t>
      </w:r>
      <w:r w:rsidR="00CE72CF">
        <w:t>E</w:t>
      </w:r>
      <w:r>
        <w:t>ra America.</w:t>
      </w:r>
    </w:p>
    <w:p w14:paraId="5C9D701D" w14:textId="65DC0DFA" w:rsidR="00853AEE" w:rsidRPr="00513C0C" w:rsidRDefault="008D763A" w:rsidP="00853AEE">
      <w:r>
        <w:t xml:space="preserve">The </w:t>
      </w:r>
      <w:r w:rsidR="00CE72CF">
        <w:t>F</w:t>
      </w:r>
      <w:r>
        <w:t>ounding-</w:t>
      </w:r>
      <w:r w:rsidR="00CE72CF">
        <w:t>E</w:t>
      </w:r>
      <w:r>
        <w:t>ra history of the Second Amendment</w:t>
      </w:r>
      <w:r w:rsidR="000F29E9">
        <w:t>—from the decade or so before the Declaration of Independence, through the ratification of the Bill of Rights in 1791, and up to</w:t>
      </w:r>
      <w:r w:rsidR="009A4DD4">
        <w:t xml:space="preserve"> the</w:t>
      </w:r>
      <w:r w:rsidR="000F29E9">
        <w:t xml:space="preserve"> Founding generation’s gradual exit from the public scene by roughly the end of the first quarter of the nineteenth century—</w:t>
      </w:r>
      <w:r>
        <w:t>confirms that it protects the right to bear arms outside the home.</w:t>
      </w:r>
      <w:r w:rsidR="007B0491">
        <w:rPr>
          <w:rStyle w:val="FootnoteReference"/>
        </w:rPr>
        <w:footnoteReference w:id="3"/>
      </w:r>
      <w:r>
        <w:t xml:space="preserve"> E</w:t>
      </w:r>
      <w:r w:rsidR="007E2299">
        <w:t xml:space="preserve">arly American colonists—and, later, citizens—enjoyed, in the main, an unfettered right to carry firearms for self-defense and other lawful purposes. </w:t>
      </w:r>
      <w:r w:rsidR="00513C0C">
        <w:t xml:space="preserve">Apart from race-based limitations, discussed below, only four of the </w:t>
      </w:r>
      <w:r w:rsidR="00CE72CF">
        <w:t>C</w:t>
      </w:r>
      <w:r w:rsidR="00513C0C">
        <w:t xml:space="preserve">olonies appear to have </w:t>
      </w:r>
      <w:r w:rsidR="00AC31B8">
        <w:t xml:space="preserve">enacted </w:t>
      </w:r>
      <w:r w:rsidR="00BB5168">
        <w:t xml:space="preserve">statutory </w:t>
      </w:r>
      <w:r w:rsidR="00513C0C">
        <w:t xml:space="preserve">restrictions on carrying firearms: New Jersey, Virginia, Massachusetts, and New Hampshire. </w:t>
      </w:r>
      <w:r w:rsidR="00513C0C">
        <w:rPr>
          <w:i/>
          <w:iCs/>
        </w:rPr>
        <w:t xml:space="preserve">See </w:t>
      </w:r>
      <w:bookmarkStart w:id="0" w:name="_Hlk74836041"/>
      <w:r w:rsidR="00BB5168" w:rsidRPr="007B68C0">
        <w:rPr>
          <w:smallCaps/>
        </w:rPr>
        <w:t>Stephen P. Halbrook, The Right to Bear Arms</w:t>
      </w:r>
      <w:r w:rsidR="00BB5168" w:rsidRPr="007B68C0">
        <w:t xml:space="preserve"> 123 (2021)</w:t>
      </w:r>
      <w:bookmarkEnd w:id="0"/>
      <w:r w:rsidR="00513C0C">
        <w:t xml:space="preserve">. And of these, only New Jersey enforced a restriction—temporarily, and </w:t>
      </w:r>
      <w:r w:rsidR="00BC30AE">
        <w:t xml:space="preserve">in </w:t>
      </w:r>
      <w:r w:rsidR="00AE7997">
        <w:t xml:space="preserve">just </w:t>
      </w:r>
      <w:r w:rsidR="00BC30AE">
        <w:t xml:space="preserve">part of </w:t>
      </w:r>
      <w:r w:rsidR="00BC30AE">
        <w:lastRenderedPageBreak/>
        <w:t xml:space="preserve">the </w:t>
      </w:r>
      <w:r w:rsidR="00CE72CF">
        <w:t>Colony</w:t>
      </w:r>
      <w:r w:rsidR="00BC30AE">
        <w:t>—that</w:t>
      </w:r>
      <w:r w:rsidR="00522999">
        <w:t xml:space="preserve"> even</w:t>
      </w:r>
      <w:r w:rsidR="00BC30AE">
        <w:t xml:space="preserve"> arguably </w:t>
      </w:r>
      <w:r w:rsidR="00522999">
        <w:t>touched upon</w:t>
      </w:r>
      <w:r w:rsidR="00BC30AE">
        <w:t xml:space="preserve"> the right of law-abiding citizens to carry arms</w:t>
      </w:r>
      <w:r w:rsidR="00522999">
        <w:t xml:space="preserve"> peacefully</w:t>
      </w:r>
      <w:r w:rsidR="00BC30AE">
        <w:t xml:space="preserve">. </w:t>
      </w:r>
    </w:p>
    <w:p w14:paraId="43F62821" w14:textId="692BCEFE" w:rsidR="00910155" w:rsidRDefault="009F64F8" w:rsidP="00910155">
      <w:r>
        <w:t xml:space="preserve">In 1686, </w:t>
      </w:r>
      <w:r w:rsidR="00AB0C7C">
        <w:t>E</w:t>
      </w:r>
      <w:r>
        <w:t xml:space="preserve">ast New Jersey enacted a law providing that no person “shall presume privately to wear any pocket pistol, </w:t>
      </w:r>
      <w:proofErr w:type="spellStart"/>
      <w:r>
        <w:t>skeines</w:t>
      </w:r>
      <w:proofErr w:type="spellEnd"/>
      <w:r>
        <w:t>, stilettoes, daggers or dirks, or other unusual or unlawful weapons,” and that “no planter shall ride or go armed with sword, pistol or dagger” except certain officials and “strangers, travelling upon their lawful occasions through this Province, behaving themselves peaceably.”</w:t>
      </w:r>
      <w:r w:rsidR="00392CA4">
        <w:rPr>
          <w:rStyle w:val="FootnoteReference"/>
        </w:rPr>
        <w:footnoteReference w:id="4"/>
      </w:r>
      <w:r>
        <w:t xml:space="preserve"> The law did not apply in </w:t>
      </w:r>
      <w:r w:rsidR="00AB0C7C">
        <w:t>West New Jersey</w:t>
      </w:r>
      <w:r>
        <w:t xml:space="preserve"> (which was then governed separately)</w:t>
      </w:r>
      <w:r w:rsidR="00F46450">
        <w:t>.</w:t>
      </w:r>
      <w:r>
        <w:t xml:space="preserve"> </w:t>
      </w:r>
      <w:r w:rsidRPr="003B7FA8">
        <w:rPr>
          <w:smallCaps/>
        </w:rPr>
        <w:t>Halbrook</w:t>
      </w:r>
      <w:r w:rsidRPr="00513C0C">
        <w:rPr>
          <w:smallCaps/>
        </w:rPr>
        <w:t xml:space="preserve">, </w:t>
      </w:r>
      <w:r>
        <w:rPr>
          <w:i/>
          <w:iCs/>
        </w:rPr>
        <w:t>supra</w:t>
      </w:r>
      <w:r>
        <w:t>, at 128</w:t>
      </w:r>
      <w:r w:rsidR="00E82E0B">
        <w:t>-</w:t>
      </w:r>
      <w:r>
        <w:t xml:space="preserve">29. On its face, the first </w:t>
      </w:r>
      <w:r w:rsidR="000360AB">
        <w:t>prohibition only limited concealed carry; and given that limitation, the second prohibition against riding armed was presumably understood—consistently with the contemporaneous understanding of the</w:t>
      </w:r>
      <w:r w:rsidR="00CD250C">
        <w:t xml:space="preserve"> </w:t>
      </w:r>
      <w:r w:rsidR="000360AB">
        <w:t>similarly-worded Statute of Northampton</w:t>
      </w:r>
      <w:r w:rsidR="00CE72CF">
        <w:t xml:space="preserve"> discussed below</w:t>
      </w:r>
      <w:r w:rsidR="000360AB">
        <w:t>—as barring only carrying for offensive, malicious purposes (else, it would have rendered the first clause’s limit on concealed</w:t>
      </w:r>
      <w:r w:rsidR="00F46450">
        <w:t xml:space="preserve"> </w:t>
      </w:r>
      <w:r w:rsidR="000360AB">
        <w:t xml:space="preserve">carriage redundant). </w:t>
      </w:r>
      <w:r w:rsidR="000360AB">
        <w:rPr>
          <w:i/>
          <w:iCs/>
        </w:rPr>
        <w:t>See also id.</w:t>
      </w:r>
      <w:r w:rsidR="000360AB">
        <w:t xml:space="preserve"> at 129 (noting contemporaneous </w:t>
      </w:r>
      <w:r w:rsidR="00AB0C7C">
        <w:t>E</w:t>
      </w:r>
      <w:r w:rsidR="000360AB">
        <w:t xml:space="preserve">ast New Jersey law instructing constables to arrest those who “ride or go </w:t>
      </w:r>
      <w:proofErr w:type="spellStart"/>
      <w:r w:rsidR="000360AB">
        <w:t>arm’d</w:t>
      </w:r>
      <w:proofErr w:type="spellEnd"/>
      <w:r w:rsidR="000360AB">
        <w:t xml:space="preserve"> offensively, or shall make or commit any riot, affray, or other breach of the King’s peace”). The 1686 </w:t>
      </w:r>
      <w:r w:rsidR="00AB0C7C">
        <w:t>E</w:t>
      </w:r>
      <w:r w:rsidR="000360AB">
        <w:t xml:space="preserve">ast New Jersey law was no longer in force by the time of the American </w:t>
      </w:r>
      <w:proofErr w:type="gramStart"/>
      <w:r w:rsidR="000360AB">
        <w:t>Revolution, and</w:t>
      </w:r>
      <w:proofErr w:type="gramEnd"/>
      <w:r w:rsidR="000360AB">
        <w:t xml:space="preserve"> may not have even survived into the 18th century. </w:t>
      </w:r>
      <w:r w:rsidR="000360AB">
        <w:rPr>
          <w:i/>
          <w:iCs/>
        </w:rPr>
        <w:t xml:space="preserve">Id. </w:t>
      </w:r>
      <w:r w:rsidR="000360AB">
        <w:t>at 130</w:t>
      </w:r>
      <w:r w:rsidR="00E82E0B">
        <w:t>-</w:t>
      </w:r>
      <w:r w:rsidR="000360AB">
        <w:t>31.</w:t>
      </w:r>
    </w:p>
    <w:p w14:paraId="62C1D4EE" w14:textId="306D9597" w:rsidR="008D763A" w:rsidRDefault="00F73D66" w:rsidP="00E87C97">
      <w:r>
        <w:lastRenderedPageBreak/>
        <w:t xml:space="preserve">The </w:t>
      </w:r>
      <w:r w:rsidR="000D1215">
        <w:t xml:space="preserve">only </w:t>
      </w:r>
      <w:r>
        <w:t xml:space="preserve">other two colonies that enacted statutes restricting public carry explicitly specified that they </w:t>
      </w:r>
      <w:r w:rsidR="000D1215">
        <w:t xml:space="preserve">merely </w:t>
      </w:r>
      <w:r>
        <w:t xml:space="preserve">limited carrying arms in a way that disturbed the peace. </w:t>
      </w:r>
      <w:r w:rsidR="00471F1E">
        <w:t>Massachusetts in 1694 provided for the arrest of “</w:t>
      </w:r>
      <w:r w:rsidR="00471F1E" w:rsidRPr="00BB53AC">
        <w:t xml:space="preserve">all </w:t>
      </w:r>
      <w:proofErr w:type="spellStart"/>
      <w:r w:rsidR="00471F1E" w:rsidRPr="00BB53AC">
        <w:t>Affrayers</w:t>
      </w:r>
      <w:proofErr w:type="spellEnd"/>
      <w:r w:rsidR="00471F1E" w:rsidRPr="00BB53AC">
        <w:t>, Rioters, Disturbers, or Breakers of the Peace, and such as shall ride or go armed Offensively before any of their Majesties Justices, or other Their Officers or Ministers doing their Office or elsewhere.</w:t>
      </w:r>
      <w:r w:rsidR="00471F1E">
        <w:t>”</w:t>
      </w:r>
      <w:r w:rsidR="004A7559">
        <w:rPr>
          <w:rStyle w:val="FootnoteReference"/>
        </w:rPr>
        <w:footnoteReference w:id="5"/>
      </w:r>
      <w:r w:rsidR="00471F1E">
        <w:t xml:space="preserve"> </w:t>
      </w:r>
      <w:r w:rsidR="00D5343F">
        <w:t>In</w:t>
      </w:r>
      <w:r w:rsidR="00471F1E">
        <w:t xml:space="preserve"> 1699, New Hampshire enacted a similar prohibition</w:t>
      </w:r>
      <w:r w:rsidR="007732E1">
        <w:t>.</w:t>
      </w:r>
      <w:r w:rsidR="004A7559">
        <w:rPr>
          <w:rStyle w:val="FootnoteReference"/>
        </w:rPr>
        <w:footnoteReference w:id="6"/>
      </w:r>
      <w:r w:rsidR="00471F1E">
        <w:t xml:space="preserve"> </w:t>
      </w:r>
    </w:p>
    <w:p w14:paraId="3303B110" w14:textId="63595423" w:rsidR="008D763A" w:rsidRDefault="00E87C97" w:rsidP="00E87C97">
      <w:r>
        <w:t xml:space="preserve">These </w:t>
      </w:r>
      <w:r w:rsidR="00C27FBA">
        <w:t xml:space="preserve">statutes contained language </w:t>
      </w:r>
      <w:r w:rsidR="008D763A">
        <w:t>patterned after</w:t>
      </w:r>
      <w:r w:rsidR="00C27FBA">
        <w:t xml:space="preserve"> the</w:t>
      </w:r>
      <w:r w:rsidR="008D763A">
        <w:t xml:space="preserve"> English</w:t>
      </w:r>
      <w:r w:rsidR="00C27FBA">
        <w:t xml:space="preserve"> Statute of Northampton, </w:t>
      </w:r>
      <w:r w:rsidR="008D763A">
        <w:t xml:space="preserve">which provided, </w:t>
      </w:r>
      <w:r w:rsidR="008D763A" w:rsidRPr="003E6BAB">
        <w:rPr>
          <w:i/>
        </w:rPr>
        <w:t>inter alia</w:t>
      </w:r>
      <w:r w:rsidR="008D763A">
        <w:t>, that “no Man great nor small” shall “go nor ride armed by night nor by day, in Fairs, Markets, nor in the presence of the Justices or other Ministers, nor in no part elsewhere.”</w:t>
      </w:r>
      <w:r w:rsidR="004A7559">
        <w:rPr>
          <w:rStyle w:val="FootnoteReference"/>
        </w:rPr>
        <w:footnoteReference w:id="7"/>
      </w:r>
      <w:r w:rsidR="008D763A">
        <w:t xml:space="preserve"> Some have asserted that Northampton imposed “</w:t>
      </w:r>
      <w:r w:rsidR="008D763A" w:rsidRPr="002D027F">
        <w:t>a broad prohibition on the public carrying of arms</w:t>
      </w:r>
      <w:r w:rsidR="008D763A">
        <w:t xml:space="preserve">.” </w:t>
      </w:r>
      <w:r w:rsidR="008D763A" w:rsidRPr="002D027F">
        <w:t>Patrick J. Charles, </w:t>
      </w:r>
      <w:r w:rsidR="008D763A" w:rsidRPr="002D027F">
        <w:rPr>
          <w:i/>
          <w:iCs/>
        </w:rPr>
        <w:t>The Faces of the Second Amendment Outside the Home</w:t>
      </w:r>
      <w:r w:rsidR="008D763A" w:rsidRPr="002D027F">
        <w:t xml:space="preserve">, 60 </w:t>
      </w:r>
      <w:proofErr w:type="spellStart"/>
      <w:r w:rsidR="008D763A" w:rsidRPr="002D027F">
        <w:rPr>
          <w:smallCaps/>
        </w:rPr>
        <w:t>Clev</w:t>
      </w:r>
      <w:proofErr w:type="spellEnd"/>
      <w:r w:rsidR="008D763A" w:rsidRPr="002D027F">
        <w:rPr>
          <w:smallCaps/>
        </w:rPr>
        <w:t>. St. L. Rev</w:t>
      </w:r>
      <w:r w:rsidR="008D763A" w:rsidRPr="002D027F">
        <w:t>. 1, 8 (2012)</w:t>
      </w:r>
      <w:r w:rsidR="008D763A">
        <w:t xml:space="preserve">. </w:t>
      </w:r>
      <w:proofErr w:type="gramStart"/>
      <w:r w:rsidR="008D763A">
        <w:t>But in reality, the</w:t>
      </w:r>
      <w:proofErr w:type="gramEnd"/>
      <w:r w:rsidR="008D763A">
        <w:t xml:space="preserve"> law was conclusively understood—at least by the end of the seventeenth century—as </w:t>
      </w:r>
      <w:r w:rsidR="000D1215">
        <w:t xml:space="preserve">only </w:t>
      </w:r>
      <w:r w:rsidR="008D763A">
        <w:t xml:space="preserve">regulating the right to carry firearms in a narrow and peripheral way, </w:t>
      </w:r>
      <w:r w:rsidR="00AE7997">
        <w:t xml:space="preserve">if </w:t>
      </w:r>
      <w:r w:rsidR="008D763A">
        <w:t xml:space="preserve">it had any continuing vitality at all. As Chief Justice Holt of the King’s Bench explained in the influential </w:t>
      </w:r>
      <w:r w:rsidR="008D763A" w:rsidRPr="000F7D22">
        <w:rPr>
          <w:i/>
        </w:rPr>
        <w:t>Sir John Knight’s Case</w:t>
      </w:r>
      <w:r w:rsidR="008D763A" w:rsidRPr="000F7D22">
        <w:t>,</w:t>
      </w:r>
      <w:r w:rsidR="008D763A">
        <w:t xml:space="preserve"> Northampton was </w:t>
      </w:r>
      <w:r w:rsidR="008D763A" w:rsidRPr="000F7D22">
        <w:t xml:space="preserve">merely </w:t>
      </w:r>
      <w:r w:rsidR="008D763A" w:rsidRPr="000F7D22">
        <w:lastRenderedPageBreak/>
        <w:t>declaratory of the common-law rule against “go[</w:t>
      </w:r>
      <w:proofErr w:type="spellStart"/>
      <w:r w:rsidR="008D763A" w:rsidRPr="000F7D22">
        <w:t>ing</w:t>
      </w:r>
      <w:proofErr w:type="spellEnd"/>
      <w:r w:rsidR="008D763A" w:rsidRPr="000F7D22">
        <w:t xml:space="preserve">] armed to terrify the King’s subjects.” </w:t>
      </w:r>
      <w:r w:rsidR="008D763A" w:rsidRPr="007B68C0">
        <w:t>87 Eng. Rep. 75</w:t>
      </w:r>
      <w:r w:rsidR="008D763A" w:rsidRPr="000F7D22">
        <w:t>, 76 (</w:t>
      </w:r>
      <w:proofErr w:type="spellStart"/>
      <w:r w:rsidR="008D763A" w:rsidRPr="000F7D22">
        <w:t>K.B</w:t>
      </w:r>
      <w:proofErr w:type="spellEnd"/>
      <w:r w:rsidR="008D763A" w:rsidRPr="000F7D22">
        <w:t>. 1686)</w:t>
      </w:r>
      <w:r w:rsidR="008D763A">
        <w:t xml:space="preserve">. </w:t>
      </w:r>
      <w:r w:rsidR="008D763A" w:rsidRPr="000F7D22">
        <w:t xml:space="preserve">“[T]ho’ this statute be almost gone into </w:t>
      </w:r>
      <w:proofErr w:type="spellStart"/>
      <w:r w:rsidR="008D763A" w:rsidRPr="000F7D22">
        <w:t>desuetudinem</w:t>
      </w:r>
      <w:proofErr w:type="spellEnd"/>
      <w:r w:rsidR="008D763A" w:rsidRPr="000F7D22">
        <w:t xml:space="preserve">,” </w:t>
      </w:r>
      <w:r w:rsidR="008D763A">
        <w:t xml:space="preserve">Lord </w:t>
      </w:r>
      <w:r w:rsidR="008D763A" w:rsidRPr="000F7D22">
        <w:t xml:space="preserve">Holt added, “yet where the crime shall appear to be </w:t>
      </w:r>
      <w:proofErr w:type="spellStart"/>
      <w:r w:rsidR="008D763A" w:rsidRPr="000F7D22">
        <w:t>malo</w:t>
      </w:r>
      <w:proofErr w:type="spellEnd"/>
      <w:r w:rsidR="008D763A" w:rsidRPr="000F7D22">
        <w:t xml:space="preserve"> </w:t>
      </w:r>
      <w:proofErr w:type="spellStart"/>
      <w:r w:rsidR="008D763A" w:rsidRPr="000F7D22">
        <w:t>animo</w:t>
      </w:r>
      <w:proofErr w:type="spellEnd"/>
      <w:r w:rsidR="008D763A" w:rsidRPr="000F7D22">
        <w:t>”—that is, with a specific, evil intent</w:t>
      </w:r>
      <w:proofErr w:type="gramStart"/>
      <w:r w:rsidR="008D763A" w:rsidRPr="000F7D22">
        <w:t>—“</w:t>
      </w:r>
      <w:proofErr w:type="gramEnd"/>
      <w:r w:rsidR="008D763A" w:rsidRPr="000F7D22">
        <w:t>it will come within the Act (</w:t>
      </w:r>
      <w:proofErr w:type="spellStart"/>
      <w:r w:rsidR="008D763A" w:rsidRPr="000F7D22">
        <w:t>tho</w:t>
      </w:r>
      <w:proofErr w:type="spellEnd"/>
      <w:r w:rsidR="008D763A" w:rsidRPr="000F7D22">
        <w:t xml:space="preserve">’ now there be a general connivance to gentlemen to ride armed for their security).” </w:t>
      </w:r>
      <w:r w:rsidR="008D763A" w:rsidRPr="007B68C0">
        <w:rPr>
          <w:i/>
        </w:rPr>
        <w:t>Rex v. Knight</w:t>
      </w:r>
      <w:r w:rsidR="008D763A" w:rsidRPr="007B68C0">
        <w:t>, 90 Eng. Rep. 330 (</w:t>
      </w:r>
      <w:proofErr w:type="spellStart"/>
      <w:r w:rsidR="008D763A" w:rsidRPr="007B68C0">
        <w:t>K.B</w:t>
      </w:r>
      <w:proofErr w:type="spellEnd"/>
      <w:r w:rsidR="008D763A" w:rsidRPr="007B68C0">
        <w:t>. 1686) (different reporter).</w:t>
      </w:r>
      <w:r w:rsidR="008D763A">
        <w:t xml:space="preserve"> </w:t>
      </w:r>
    </w:p>
    <w:p w14:paraId="0EB2545A" w14:textId="53BC789B" w:rsidR="00B43A54" w:rsidRDefault="00B43A54" w:rsidP="00E87C97">
      <w:r>
        <w:t xml:space="preserve">In the years leading up to the American Revolution, </w:t>
      </w:r>
      <w:r>
        <w:rPr>
          <w:i/>
          <w:iCs/>
        </w:rPr>
        <w:t>Knight</w:t>
      </w:r>
      <w:r>
        <w:t xml:space="preserve">’s narrow interpretation of Northampton was widely cited and adopted. </w:t>
      </w:r>
      <w:r w:rsidRPr="000A14C0">
        <w:t xml:space="preserve">Sergeant William Hawkins’s </w:t>
      </w:r>
      <w:r>
        <w:t>“</w:t>
      </w:r>
      <w:r w:rsidRPr="000A14C0">
        <w:t xml:space="preserve">widely read Treatise of the Pleas of the Crown,” </w:t>
      </w:r>
      <w:r w:rsidRPr="000A14C0">
        <w:rPr>
          <w:i/>
        </w:rPr>
        <w:t>Atwater v. City of Lago Vista</w:t>
      </w:r>
      <w:r w:rsidRPr="000A14C0">
        <w:t>, 532 U.S. 318, 331 (2001),</w:t>
      </w:r>
      <w:r>
        <w:t xml:space="preserve"> explained—with a citation to </w:t>
      </w:r>
      <w:r>
        <w:rPr>
          <w:i/>
          <w:iCs/>
        </w:rPr>
        <w:t>Knight</w:t>
      </w:r>
      <w:r>
        <w:t>—that “no wearing of Arms is within the meaning of this Statute, unless it be accompanied with such Circumstances as</w:t>
      </w:r>
      <w:r w:rsidR="003F1F20" w:rsidRPr="003F1F20">
        <w:t xml:space="preserve"> </w:t>
      </w:r>
      <w:r w:rsidR="003F1F20" w:rsidRPr="00497995">
        <w:t>are apt to terrify the People,”</w:t>
      </w:r>
      <w:r>
        <w:t xml:space="preserve"> </w:t>
      </w:r>
      <w:r w:rsidR="00C042AE" w:rsidRPr="00E96F8E">
        <w:t xml:space="preserve">2 </w:t>
      </w:r>
      <w:r w:rsidR="00E96F8E" w:rsidRPr="009401D5">
        <w:rPr>
          <w:smallCaps/>
        </w:rPr>
        <w:t>William</w:t>
      </w:r>
      <w:r w:rsidR="00E96F8E">
        <w:t xml:space="preserve"> </w:t>
      </w:r>
      <w:r w:rsidR="00C042AE" w:rsidRPr="00E96F8E">
        <w:rPr>
          <w:iCs/>
          <w:smallCaps/>
        </w:rPr>
        <w:t xml:space="preserve">Hawkins, </w:t>
      </w:r>
      <w:r w:rsidR="00E96F8E" w:rsidRPr="009401D5">
        <w:rPr>
          <w:iCs/>
          <w:smallCaps/>
        </w:rPr>
        <w:t>Treatise of the Pleas of the Crown</w:t>
      </w:r>
      <w:r w:rsidR="009401D5">
        <w:rPr>
          <w:iCs/>
        </w:rPr>
        <w:t xml:space="preserve"> </w:t>
      </w:r>
      <w:r w:rsidRPr="00E96F8E">
        <w:t>21</w:t>
      </w:r>
      <w:r>
        <w:rPr>
          <w:iCs/>
        </w:rPr>
        <w:t xml:space="preserve"> </w:t>
      </w:r>
      <w:r w:rsidR="00E96F8E">
        <w:rPr>
          <w:iCs/>
        </w:rPr>
        <w:t xml:space="preserve">(1795) </w:t>
      </w:r>
      <w:r>
        <w:rPr>
          <w:iCs/>
        </w:rPr>
        <w:t>(citing 3 Mod. 117, an alternate citation of 87 Eng. Rep. 75)</w:t>
      </w:r>
      <w:r>
        <w:t xml:space="preserve">. Theodore Barlow’s 1745 treatise likewise noted (also citing </w:t>
      </w:r>
      <w:r>
        <w:rPr>
          <w:i/>
          <w:iCs/>
        </w:rPr>
        <w:t>Knight</w:t>
      </w:r>
      <w:r>
        <w:t xml:space="preserve">) that “[w]earing Arms, if not accompanied with Circumstances of Terror, is not within this Statute.” </w:t>
      </w:r>
      <w:bookmarkStart w:id="1" w:name="_Hlk74836028"/>
      <w:r w:rsidRPr="00A71DC6">
        <w:rPr>
          <w:smallCaps/>
        </w:rPr>
        <w:t>Theodore Barlow, The Justice of Peace</w:t>
      </w:r>
      <w:r w:rsidRPr="00A71DC6">
        <w:t xml:space="preserve"> 12 (1745)</w:t>
      </w:r>
      <w:bookmarkEnd w:id="1"/>
      <w:r>
        <w:t xml:space="preserve">. And Blackstone similarly interpreted the statute as proscribing “[t]he offence of riding or going armed, </w:t>
      </w:r>
      <w:r w:rsidRPr="00733CE5">
        <w:rPr>
          <w:i/>
        </w:rPr>
        <w:t>with dangerous or unusual weapons</w:t>
      </w:r>
      <w:r>
        <w:t>,” since such conduct “terrif[</w:t>
      </w:r>
      <w:proofErr w:type="spellStart"/>
      <w:r>
        <w:t>ied</w:t>
      </w:r>
      <w:proofErr w:type="spellEnd"/>
      <w:r>
        <w:t xml:space="preserve">] the good people of the land.” </w:t>
      </w:r>
      <w:r w:rsidRPr="008C3E15">
        <w:t xml:space="preserve">4 </w:t>
      </w:r>
      <w:r w:rsidRPr="008C3E15">
        <w:rPr>
          <w:iCs/>
          <w:smallCaps/>
        </w:rPr>
        <w:t>Blackstone Commentaries</w:t>
      </w:r>
      <w:r w:rsidRPr="008C3E15">
        <w:t xml:space="preserve"> *148</w:t>
      </w:r>
      <w:r w:rsidR="00E82E0B" w:rsidRPr="008C3E15">
        <w:t>-</w:t>
      </w:r>
      <w:r w:rsidRPr="008C3E15">
        <w:t>49 (emphasis added).</w:t>
      </w:r>
    </w:p>
    <w:p w14:paraId="0B49B948" w14:textId="2DE67E29" w:rsidR="00E87C97" w:rsidRPr="00C27FBA" w:rsidRDefault="00B43A54" w:rsidP="00E87C97">
      <w:r>
        <w:rPr>
          <w:iCs/>
        </w:rPr>
        <w:lastRenderedPageBreak/>
        <w:t>Thus, even in England</w:t>
      </w:r>
      <w:r w:rsidR="008309B5">
        <w:rPr>
          <w:iCs/>
        </w:rPr>
        <w:t>,</w:t>
      </w:r>
      <w:r>
        <w:rPr>
          <w:iCs/>
        </w:rPr>
        <w:t xml:space="preserve"> Northampton was understood to prohibit carrying arms in public </w:t>
      </w:r>
      <w:r w:rsidR="00F40D4B">
        <w:rPr>
          <w:iCs/>
        </w:rPr>
        <w:t xml:space="preserve">only </w:t>
      </w:r>
      <w:r>
        <w:rPr>
          <w:iCs/>
        </w:rPr>
        <w:t xml:space="preserve">if it was done in a menacing, terrorizing way, with the intent to disturb the peace. And when the American Colonies imported Northampton’s prohibition, they </w:t>
      </w:r>
      <w:r>
        <w:t xml:space="preserve">effectively codified </w:t>
      </w:r>
      <w:r>
        <w:rPr>
          <w:i/>
          <w:iCs/>
        </w:rPr>
        <w:t>Knight</w:t>
      </w:r>
      <w:r>
        <w:t xml:space="preserve">’s limitation </w:t>
      </w:r>
      <w:r w:rsidR="00C27FBA">
        <w:t>by limiting their scope to those who carried arms “</w:t>
      </w:r>
      <w:r w:rsidR="00A5241D">
        <w:t>[</w:t>
      </w:r>
      <w:r w:rsidR="00C27FBA">
        <w:t>o</w:t>
      </w:r>
      <w:r w:rsidR="00A5241D">
        <w:t>]</w:t>
      </w:r>
      <w:proofErr w:type="spellStart"/>
      <w:r w:rsidR="00C27FBA">
        <w:t>ffensively</w:t>
      </w:r>
      <w:proofErr w:type="spellEnd"/>
      <w:r>
        <w:t>.</w:t>
      </w:r>
      <w:r w:rsidR="00C27FBA">
        <w:t>”</w:t>
      </w:r>
      <w:r w:rsidR="00C042AE">
        <w:rPr>
          <w:rStyle w:val="FootnoteReference"/>
        </w:rPr>
        <w:footnoteReference w:id="8"/>
      </w:r>
      <w:r>
        <w:t xml:space="preserve"> </w:t>
      </w:r>
    </w:p>
    <w:p w14:paraId="7256ED01" w14:textId="72D647F6" w:rsidR="00E87C97" w:rsidRPr="000360AB" w:rsidRDefault="00E87C97" w:rsidP="00E87C97">
      <w:r>
        <w:t xml:space="preserve">The Colony of Virginia may have enforced a similar common-law prohibition on going “offensively armed, in Terror of the People.” </w:t>
      </w:r>
      <w:r>
        <w:rPr>
          <w:i/>
          <w:iCs/>
        </w:rPr>
        <w:t xml:space="preserve">See </w:t>
      </w:r>
      <w:bookmarkStart w:id="2" w:name="_Hlk74836017"/>
      <w:r w:rsidRPr="00125E1F">
        <w:rPr>
          <w:smallCaps/>
        </w:rPr>
        <w:t xml:space="preserve">George Webb, The Office &amp; Authority of a Justice of Peace </w:t>
      </w:r>
      <w:r w:rsidRPr="00125E1F">
        <w:t>92</w:t>
      </w:r>
      <w:r w:rsidR="00E82E0B" w:rsidRPr="00125E1F">
        <w:t>-</w:t>
      </w:r>
      <w:r w:rsidRPr="00125E1F">
        <w:t>93 (1736)</w:t>
      </w:r>
      <w:bookmarkEnd w:id="2"/>
      <w:r>
        <w:t>. In any event, in 1786, after obtaining statehood, Virginia enacted a Northampton-like prohibition by statute</w:t>
      </w:r>
      <w:r w:rsidR="0082187E">
        <w:t>.</w:t>
      </w:r>
      <w:r w:rsidR="00CE72CF">
        <w:rPr>
          <w:rStyle w:val="FootnoteReference"/>
        </w:rPr>
        <w:footnoteReference w:id="9"/>
      </w:r>
      <w:r>
        <w:t xml:space="preserve"> Between the Revolution and 1825, another </w:t>
      </w:r>
      <w:r w:rsidR="00A966A1">
        <w:t>two</w:t>
      </w:r>
      <w:r>
        <w:t xml:space="preserve"> States enacted similar Northampton analogues: </w:t>
      </w:r>
      <w:r w:rsidR="00A966A1">
        <w:t>Tennessee (1801) and Maine (1821).</w:t>
      </w:r>
      <w:r w:rsidR="00A966A1">
        <w:rPr>
          <w:rStyle w:val="FootnoteReference"/>
        </w:rPr>
        <w:footnoteReference w:id="10"/>
      </w:r>
      <w:r w:rsidR="00A966A1">
        <w:t xml:space="preserve"> </w:t>
      </w:r>
      <w:r w:rsidR="007C5306">
        <w:t>New York and North Carolina</w:t>
      </w:r>
      <w:r w:rsidR="00AC31B8">
        <w:t>, and perhaps other States,</w:t>
      </w:r>
      <w:r w:rsidR="00AF1EED">
        <w:t xml:space="preserve"> may also have enforced like restrictions</w:t>
      </w:r>
      <w:r w:rsidR="007C5306">
        <w:t xml:space="preserve"> </w:t>
      </w:r>
      <w:r w:rsidR="00AC31B8">
        <w:t>under the</w:t>
      </w:r>
      <w:r w:rsidR="007C5306">
        <w:t xml:space="preserve"> common law</w:t>
      </w:r>
      <w:r w:rsidR="00AC31B8">
        <w:t xml:space="preserve"> offense of “affray</w:t>
      </w:r>
      <w:r w:rsidR="00BB5168">
        <w:t>.</w:t>
      </w:r>
      <w:r w:rsidR="00AC31B8">
        <w:t>”</w:t>
      </w:r>
      <w:r w:rsidR="00E9548B" w:rsidRPr="00E9548B">
        <w:rPr>
          <w:i/>
          <w:iCs/>
        </w:rPr>
        <w:t xml:space="preserve"> </w:t>
      </w:r>
      <w:r w:rsidR="00E9548B" w:rsidRPr="00E6070A">
        <w:rPr>
          <w:i/>
          <w:iCs/>
        </w:rPr>
        <w:t xml:space="preserve">See </w:t>
      </w:r>
      <w:r w:rsidR="00E9548B" w:rsidRPr="00E6070A">
        <w:rPr>
          <w:smallCaps/>
        </w:rPr>
        <w:t>John A. Dunlap, The New York Justice</w:t>
      </w:r>
      <w:r w:rsidR="00E9548B" w:rsidRPr="00E6070A">
        <w:t xml:space="preserve"> 8 (1815); </w:t>
      </w:r>
      <w:r w:rsidR="00E9548B" w:rsidRPr="003B7FA8">
        <w:rPr>
          <w:smallCaps/>
        </w:rPr>
        <w:t xml:space="preserve">Halbrook, </w:t>
      </w:r>
      <w:r w:rsidR="00E9548B" w:rsidRPr="003B7FA8">
        <w:rPr>
          <w:i/>
          <w:iCs/>
        </w:rPr>
        <w:t>supra</w:t>
      </w:r>
      <w:r w:rsidR="00E9548B" w:rsidRPr="003B7FA8">
        <w:t>, at 263 n.778</w:t>
      </w:r>
      <w:r w:rsidR="007931C9" w:rsidRPr="003B7FA8">
        <w:t xml:space="preserve"> (discussing North Carolina)</w:t>
      </w:r>
      <w:r w:rsidR="00E9548B" w:rsidRPr="00E6070A">
        <w:t>.</w:t>
      </w:r>
      <w:r w:rsidR="007C5306">
        <w:t xml:space="preserve"> </w:t>
      </w:r>
    </w:p>
    <w:p w14:paraId="764785BC" w14:textId="7D4C6A4E" w:rsidR="007C5306" w:rsidRDefault="00EB5397" w:rsidP="00910155">
      <w:r>
        <w:t xml:space="preserve">All </w:t>
      </w:r>
      <w:proofErr w:type="gramStart"/>
      <w:r>
        <w:t>told</w:t>
      </w:r>
      <w:r w:rsidR="0058508B">
        <w:t>,</w:t>
      </w:r>
      <w:proofErr w:type="gramEnd"/>
      <w:r w:rsidR="0058508B">
        <w:t xml:space="preserve"> </w:t>
      </w:r>
      <w:r w:rsidR="00A75117">
        <w:t xml:space="preserve">from colonial times through 1825, </w:t>
      </w:r>
      <w:r w:rsidR="0064597F">
        <w:t xml:space="preserve">only </w:t>
      </w:r>
      <w:r>
        <w:t>5</w:t>
      </w:r>
      <w:r w:rsidR="0064597F">
        <w:t xml:space="preserve"> of the 24 States admitted to the Union by </w:t>
      </w:r>
      <w:r w:rsidR="00A75117">
        <w:t xml:space="preserve">that time </w:t>
      </w:r>
      <w:r w:rsidR="0064597F">
        <w:t xml:space="preserve">appear to have enforced </w:t>
      </w:r>
      <w:r>
        <w:t xml:space="preserve">a statutory </w:t>
      </w:r>
      <w:r w:rsidR="0064597F">
        <w:t>version of Northampton. And</w:t>
      </w:r>
      <w:r>
        <w:t xml:space="preserve"> whether applied by statute or through </w:t>
      </w:r>
      <w:r>
        <w:lastRenderedPageBreak/>
        <w:t>the common law</w:t>
      </w:r>
      <w:r w:rsidR="00F7425C">
        <w:t>,</w:t>
      </w:r>
      <w:r w:rsidR="0064597F">
        <w:t xml:space="preserve"> the evidence is overwhelming that </w:t>
      </w:r>
      <w:r>
        <w:t xml:space="preserve">the Northampton-like restriction </w:t>
      </w:r>
      <w:r w:rsidR="0064597F">
        <w:t xml:space="preserve">was understood in the same narrow way as in late-seventeenth-century England: as proscribing the carrying of arms only when done maliciously </w:t>
      </w:r>
      <w:r w:rsidR="00466C16">
        <w:t>or in a specially terrifying manner.</w:t>
      </w:r>
    </w:p>
    <w:p w14:paraId="74E1A7D6" w14:textId="531DCD1D" w:rsidR="00466C16" w:rsidRDefault="00397BCD" w:rsidP="00910155">
      <w:pPr>
        <w:rPr>
          <w:iCs/>
        </w:rPr>
      </w:pPr>
      <w:r>
        <w:t>T</w:t>
      </w:r>
      <w:r w:rsidR="00DF0827">
        <w:t xml:space="preserve">hat is evident from the leading American legal commentators of the time. </w:t>
      </w:r>
      <w:r w:rsidR="00DF0827" w:rsidRPr="005C160D">
        <w:t>St. George Tucker’s influential early American edition of Blackstone</w:t>
      </w:r>
      <w:r w:rsidR="00DF0827">
        <w:t xml:space="preserve"> reproduced</w:t>
      </w:r>
      <w:r w:rsidR="00DF0827" w:rsidRPr="005C160D">
        <w:t xml:space="preserve"> Blackstone’s discussion of Northampton (with a notation that Virginia had adopted an analogous law), </w:t>
      </w:r>
      <w:r w:rsidR="00DF0827">
        <w:t>but it</w:t>
      </w:r>
      <w:r w:rsidR="00DF0827" w:rsidRPr="005C160D">
        <w:t xml:space="preserve"> </w:t>
      </w:r>
      <w:r w:rsidR="00DF0827">
        <w:t xml:space="preserve">also </w:t>
      </w:r>
      <w:r w:rsidR="00DF0827" w:rsidRPr="005C160D">
        <w:t>(a) explain</w:t>
      </w:r>
      <w:r w:rsidR="00DF0827">
        <w:t>ed</w:t>
      </w:r>
      <w:r w:rsidR="00DF0827" w:rsidRPr="005C160D">
        <w:t xml:space="preserve"> that “</w:t>
      </w:r>
      <w:r w:rsidR="00E82CB9">
        <w:t>[</w:t>
      </w:r>
      <w:proofErr w:type="spellStart"/>
      <w:r w:rsidR="00DF0827" w:rsidRPr="005C160D">
        <w:t>i</w:t>
      </w:r>
      <w:proofErr w:type="spellEnd"/>
      <w:r w:rsidR="00E82CB9">
        <w:t>]</w:t>
      </w:r>
      <w:r w:rsidR="00DF0827" w:rsidRPr="005C160D">
        <w:t>n many parts of the United States, a man no more thinks, of going out of his house on any occasion, without his rifle or musket in his hand, than an European fine gentleman without a sword by his side,” and (b) ma</w:t>
      </w:r>
      <w:r w:rsidR="00DF0827">
        <w:t>de</w:t>
      </w:r>
      <w:r w:rsidR="00DF0827" w:rsidRPr="005C160D">
        <w:t xml:space="preserve"> clear that Congress would exceed its authority if it “pass[ed] a law prohibiting any person from bearing arms.” </w:t>
      </w:r>
      <w:r w:rsidR="00DF0827" w:rsidRPr="000567D7">
        <w:t xml:space="preserve">1 </w:t>
      </w:r>
      <w:r w:rsidR="00DF0827" w:rsidRPr="000567D7">
        <w:rPr>
          <w:smallCaps/>
        </w:rPr>
        <w:t>Blackstone Commentaries</w:t>
      </w:r>
      <w:r w:rsidR="00DF0827" w:rsidRPr="000567D7">
        <w:t xml:space="preserve"> App. </w:t>
      </w:r>
      <w:proofErr w:type="spellStart"/>
      <w:r w:rsidR="00DF0827" w:rsidRPr="000567D7">
        <w:t>n.D</w:t>
      </w:r>
      <w:proofErr w:type="spellEnd"/>
      <w:r w:rsidR="00DF0827" w:rsidRPr="000567D7">
        <w:t xml:space="preserve">, at 289 (St. George Tucker ed., 1803); 5 </w:t>
      </w:r>
      <w:r w:rsidR="00DF0827" w:rsidRPr="000567D7">
        <w:rPr>
          <w:i/>
        </w:rPr>
        <w:t>id.</w:t>
      </w:r>
      <w:r w:rsidR="00DF0827" w:rsidRPr="000567D7">
        <w:t xml:space="preserve"> at 149 &amp; n.14; 5 </w:t>
      </w:r>
      <w:proofErr w:type="gramStart"/>
      <w:r w:rsidR="00DF0827" w:rsidRPr="000567D7">
        <w:rPr>
          <w:i/>
        </w:rPr>
        <w:t>id</w:t>
      </w:r>
      <w:proofErr w:type="gramEnd"/>
      <w:r w:rsidR="00DF0827" w:rsidRPr="000567D7">
        <w:rPr>
          <w:i/>
        </w:rPr>
        <w:t>.</w:t>
      </w:r>
      <w:r w:rsidR="00DF0827" w:rsidRPr="000567D7">
        <w:t xml:space="preserve"> at App. </w:t>
      </w:r>
      <w:proofErr w:type="spellStart"/>
      <w:r w:rsidR="00DF0827" w:rsidRPr="000567D7">
        <w:t>n.B</w:t>
      </w:r>
      <w:proofErr w:type="spellEnd"/>
      <w:r w:rsidR="00DF0827" w:rsidRPr="000567D7">
        <w:t>, at 19</w:t>
      </w:r>
      <w:r w:rsidR="00DF0827" w:rsidRPr="000567D7">
        <w:rPr>
          <w:iCs/>
        </w:rPr>
        <w:t>.</w:t>
      </w:r>
    </w:p>
    <w:p w14:paraId="48194AF6" w14:textId="21939FA8" w:rsidR="009E5C6C" w:rsidRDefault="00DF0827" w:rsidP="00910155">
      <w:pPr>
        <w:rPr>
          <w:iCs/>
        </w:rPr>
      </w:pPr>
      <w:r>
        <w:rPr>
          <w:iCs/>
        </w:rPr>
        <w:t xml:space="preserve">Similarly, </w:t>
      </w:r>
      <w:r w:rsidRPr="00FD727E">
        <w:rPr>
          <w:iCs/>
        </w:rPr>
        <w:t xml:space="preserve">William Rawle wrote in his “influential treatise,” </w:t>
      </w:r>
      <w:r w:rsidRPr="00FD727E">
        <w:rPr>
          <w:i/>
          <w:iCs/>
        </w:rPr>
        <w:t>Heller</w:t>
      </w:r>
      <w:r w:rsidRPr="00FD727E">
        <w:rPr>
          <w:iCs/>
        </w:rPr>
        <w:t xml:space="preserve">, 554 U.S. at 607, that </w:t>
      </w:r>
      <w:r>
        <w:rPr>
          <w:iCs/>
        </w:rPr>
        <w:t xml:space="preserve">only </w:t>
      </w:r>
      <w:r w:rsidRPr="00FD727E">
        <w:rPr>
          <w:iCs/>
        </w:rPr>
        <w:t xml:space="preserve">“the carrying of arms abroad by an individual, </w:t>
      </w:r>
      <w:r w:rsidRPr="00FD727E">
        <w:rPr>
          <w:i/>
          <w:iCs/>
        </w:rPr>
        <w:t>attended with circumstances giving just reason to fear that he purposes to make an unlawful use of them</w:t>
      </w:r>
      <w:r w:rsidRPr="00FD727E">
        <w:rPr>
          <w:iCs/>
        </w:rPr>
        <w:t xml:space="preserve">, would be sufficient cause to require him to give surety of the peace.” </w:t>
      </w:r>
      <w:r w:rsidRPr="00E6070A">
        <w:rPr>
          <w:iCs/>
          <w:smallCaps/>
        </w:rPr>
        <w:t>William Rawle, A View of the Constitution of the United States of America</w:t>
      </w:r>
      <w:r w:rsidRPr="00E6070A">
        <w:rPr>
          <w:iCs/>
        </w:rPr>
        <w:t xml:space="preserve"> 123 (1825)</w:t>
      </w:r>
      <w:r w:rsidRPr="00FD727E">
        <w:rPr>
          <w:iCs/>
        </w:rPr>
        <w:t xml:space="preserve"> (emphasis added). James Wilson, a leading Framer and Supreme Court Justice, </w:t>
      </w:r>
      <w:r>
        <w:rPr>
          <w:iCs/>
        </w:rPr>
        <w:t xml:space="preserve">likewise </w:t>
      </w:r>
      <w:r w:rsidRPr="00FD727E">
        <w:rPr>
          <w:iCs/>
        </w:rPr>
        <w:t xml:space="preserve">described </w:t>
      </w:r>
      <w:r w:rsidRPr="00FD727E">
        <w:rPr>
          <w:iCs/>
        </w:rPr>
        <w:lastRenderedPageBreak/>
        <w:t>Northampton in his widely read Lectures on Law</w:t>
      </w:r>
      <w:r>
        <w:rPr>
          <w:iCs/>
        </w:rPr>
        <w:t xml:space="preserve"> in terms that echo Blackstone:</w:t>
      </w:r>
      <w:r w:rsidRPr="00FD727E">
        <w:rPr>
          <w:iCs/>
        </w:rPr>
        <w:t xml:space="preserve"> as reaching only the carrying of “dangerous and unusual weapons, in such a manner, as will naturally diffuse a </w:t>
      </w:r>
      <w:proofErr w:type="spellStart"/>
      <w:r w:rsidRPr="00FD727E">
        <w:rPr>
          <w:iCs/>
        </w:rPr>
        <w:t>terrour</w:t>
      </w:r>
      <w:proofErr w:type="spellEnd"/>
      <w:r w:rsidRPr="00FD727E">
        <w:rPr>
          <w:iCs/>
        </w:rPr>
        <w:t xml:space="preserve"> among the people.” </w:t>
      </w:r>
      <w:r w:rsidRPr="00E6070A">
        <w:rPr>
          <w:iCs/>
        </w:rPr>
        <w:t xml:space="preserve">3 </w:t>
      </w:r>
      <w:r w:rsidRPr="00E6070A">
        <w:rPr>
          <w:iCs/>
          <w:smallCaps/>
        </w:rPr>
        <w:t xml:space="preserve">James Wilson, The Works of the </w:t>
      </w:r>
      <w:proofErr w:type="spellStart"/>
      <w:r w:rsidRPr="00E6070A">
        <w:rPr>
          <w:iCs/>
          <w:smallCaps/>
        </w:rPr>
        <w:t>Honourable</w:t>
      </w:r>
      <w:proofErr w:type="spellEnd"/>
      <w:r w:rsidRPr="00E6070A">
        <w:rPr>
          <w:iCs/>
          <w:smallCaps/>
        </w:rPr>
        <w:t xml:space="preserve"> James Wilson</w:t>
      </w:r>
      <w:r w:rsidRPr="00E6070A">
        <w:rPr>
          <w:iCs/>
        </w:rPr>
        <w:t xml:space="preserve"> 79 (1804)</w:t>
      </w:r>
      <w:r w:rsidRPr="00FD727E">
        <w:rPr>
          <w:iCs/>
        </w:rPr>
        <w:t>.</w:t>
      </w:r>
      <w:r>
        <w:rPr>
          <w:iCs/>
        </w:rPr>
        <w:t xml:space="preserve"> And John Haywood, in his turn-of-the-century treatise o</w:t>
      </w:r>
      <w:r w:rsidR="00CE72CF">
        <w:rPr>
          <w:iCs/>
        </w:rPr>
        <w:t>n</w:t>
      </w:r>
      <w:r>
        <w:rPr>
          <w:iCs/>
        </w:rPr>
        <w:t xml:space="preserve"> North Carolina law, noted that a version of Northampton applied in the State but was limited to </w:t>
      </w:r>
      <w:r w:rsidRPr="00724645">
        <w:t xml:space="preserve">“dangerous or unusual weapons” </w:t>
      </w:r>
      <w:r w:rsidR="00F2597C">
        <w:t>and</w:t>
      </w:r>
      <w:r w:rsidRPr="00724645">
        <w:t xml:space="preserve"> that the ordinary “[w]earing of arms, however, is not within the meaning of the statute, unless accompanied with such circumstances as are apt to terrify the people.”</w:t>
      </w:r>
      <w:r>
        <w:rPr>
          <w:iCs/>
        </w:rPr>
        <w:t xml:space="preserve"> </w:t>
      </w:r>
      <w:bookmarkStart w:id="3" w:name="_Hlk74835993"/>
      <w:r w:rsidRPr="00FB1AF0">
        <w:rPr>
          <w:smallCaps/>
        </w:rPr>
        <w:t>John Haywood, The Duty and Office of Justices of the Peace, and of Sheriffs, Coroners, Constables</w:t>
      </w:r>
      <w:r w:rsidRPr="00FB1AF0">
        <w:t xml:space="preserve"> 1</w:t>
      </w:r>
      <w:r w:rsidR="00FB1AF0">
        <w:t>1</w:t>
      </w:r>
      <w:r w:rsidRPr="00FB1AF0">
        <w:t xml:space="preserve"> (1800</w:t>
      </w:r>
      <w:r>
        <w:t>)</w:t>
      </w:r>
      <w:bookmarkEnd w:id="3"/>
      <w:r w:rsidR="00F2597C">
        <w:rPr>
          <w:iCs/>
        </w:rPr>
        <w:t>.</w:t>
      </w:r>
    </w:p>
    <w:p w14:paraId="19E54B19" w14:textId="7985ABFB" w:rsidR="00122F4C" w:rsidRDefault="00122F4C" w:rsidP="00910155">
      <w:proofErr w:type="gramStart"/>
      <w:r>
        <w:rPr>
          <w:iCs/>
        </w:rPr>
        <w:t>Early</w:t>
      </w:r>
      <w:r w:rsidR="00CE72CF">
        <w:rPr>
          <w:iCs/>
        </w:rPr>
        <w:t>-</w:t>
      </w:r>
      <w:r>
        <w:rPr>
          <w:iCs/>
        </w:rPr>
        <w:t>American</w:t>
      </w:r>
      <w:proofErr w:type="gramEnd"/>
      <w:r>
        <w:rPr>
          <w:iCs/>
        </w:rPr>
        <w:t xml:space="preserve"> case law provides further evidence. </w:t>
      </w:r>
      <w:r w:rsidR="00435774">
        <w:t xml:space="preserve">The Tennessee Supreme Court explained in </w:t>
      </w:r>
      <w:r w:rsidR="00B24B90">
        <w:t>1833</w:t>
      </w:r>
      <w:r w:rsidR="00435774">
        <w:t xml:space="preserve"> that because the state constitution “</w:t>
      </w:r>
      <w:proofErr w:type="spellStart"/>
      <w:r w:rsidR="00435774">
        <w:t>hath</w:t>
      </w:r>
      <w:proofErr w:type="spellEnd"/>
      <w:r w:rsidR="00435774">
        <w:t xml:space="preserve"> said the people may carry arms,” it would be impermissible to “impute to the acts thus licensed such a necessarily consequent operation as terror to the people to be incurred thereby.” </w:t>
      </w:r>
      <w:r w:rsidR="00435774" w:rsidRPr="00F27164">
        <w:rPr>
          <w:i/>
        </w:rPr>
        <w:t>Simpson v. State</w:t>
      </w:r>
      <w:r w:rsidR="00435774">
        <w:t xml:space="preserve">, 13 Tenn. 356, 360 (1833). In like form, the North Carolina Supreme Court explained that “the carrying of a gun per se constitutes no offence,” because “[f]or any lawful purpose </w:t>
      </w:r>
      <w:r w:rsidR="005D04B9">
        <w:t>…</w:t>
      </w:r>
      <w:r w:rsidR="00435774">
        <w:t xml:space="preserve"> the citizen is at perfect liberty to carry his gun. It is the wicked purpose—and the mischievous result—which essentially constitute the crime.” </w:t>
      </w:r>
      <w:r w:rsidR="00435774" w:rsidRPr="00F27164">
        <w:rPr>
          <w:i/>
        </w:rPr>
        <w:t>State v. Huntly</w:t>
      </w:r>
      <w:r w:rsidR="00435774">
        <w:t xml:space="preserve">, 25 N.C. (3 </w:t>
      </w:r>
      <w:proofErr w:type="spellStart"/>
      <w:r w:rsidR="00435774">
        <w:t>Ired</w:t>
      </w:r>
      <w:proofErr w:type="spellEnd"/>
      <w:r w:rsidR="00435774">
        <w:t>.) 418, 422</w:t>
      </w:r>
      <w:r w:rsidR="00E82E0B">
        <w:t>-</w:t>
      </w:r>
      <w:r w:rsidR="00435774">
        <w:t>23 (1843).</w:t>
      </w:r>
    </w:p>
    <w:p w14:paraId="0F12223C" w14:textId="12898CE7" w:rsidR="00007588" w:rsidRPr="00647503" w:rsidRDefault="00007588" w:rsidP="00910155">
      <w:r>
        <w:t xml:space="preserve">This evidence also disposes of the contention that firearms were </w:t>
      </w:r>
      <w:r>
        <w:rPr>
          <w:i/>
          <w:iCs/>
        </w:rPr>
        <w:t xml:space="preserve">inherently </w:t>
      </w:r>
      <w:r>
        <w:t xml:space="preserve">“offensive weapons,” such </w:t>
      </w:r>
      <w:r>
        <w:lastRenderedPageBreak/>
        <w:t xml:space="preserve">that the mere carrying of a firearm satisfied </w:t>
      </w:r>
      <w:r w:rsidR="00556483">
        <w:t>any</w:t>
      </w:r>
      <w:r>
        <w:t xml:space="preserve"> requirement that the going or riding armed be done “offensively.” </w:t>
      </w:r>
      <w:r>
        <w:rPr>
          <w:i/>
          <w:iCs/>
        </w:rPr>
        <w:t xml:space="preserve">See </w:t>
      </w:r>
      <w:r w:rsidR="00CE72CF">
        <w:t xml:space="preserve">Saul Cornell, </w:t>
      </w:r>
      <w:r w:rsidR="00CE72CF">
        <w:rPr>
          <w:i/>
          <w:iCs/>
        </w:rPr>
        <w:t>The Right to Keep and Carry Arms in Anglo-American Law</w:t>
      </w:r>
      <w:r w:rsidR="00CE72CF">
        <w:t xml:space="preserve">, 80 </w:t>
      </w:r>
      <w:r w:rsidR="00CE72CF" w:rsidRPr="006127D1">
        <w:rPr>
          <w:smallCaps/>
        </w:rPr>
        <w:t>Law &amp; Contemp. Probs.</w:t>
      </w:r>
      <w:r w:rsidR="00CE72CF">
        <w:t xml:space="preserve"> 11, 20 (2017)</w:t>
      </w:r>
      <w:r w:rsidR="00B43A54">
        <w:t xml:space="preserve">; </w:t>
      </w:r>
      <w:r w:rsidR="00B43A54">
        <w:rPr>
          <w:i/>
          <w:iCs/>
        </w:rPr>
        <w:t xml:space="preserve">see also </w:t>
      </w:r>
      <w:r w:rsidR="00E063CE" w:rsidRPr="00CF2814">
        <w:rPr>
          <w:i/>
          <w:iCs/>
        </w:rPr>
        <w:t>id</w:t>
      </w:r>
      <w:r w:rsidR="00CF2814" w:rsidRPr="00CF2814">
        <w:rPr>
          <w:i/>
          <w:iCs/>
        </w:rPr>
        <w:t>.</w:t>
      </w:r>
      <w:r w:rsidR="00B43A54">
        <w:t xml:space="preserve"> at 22</w:t>
      </w:r>
      <w:r>
        <w:t xml:space="preserve">. </w:t>
      </w:r>
      <w:r w:rsidR="00C6762C">
        <w:t xml:space="preserve">Plainly, if “the carrying of a gun per se constitutes no offence,” </w:t>
      </w:r>
      <w:r w:rsidR="00C6762C">
        <w:rPr>
          <w:i/>
          <w:iCs/>
        </w:rPr>
        <w:t>Huntly</w:t>
      </w:r>
      <w:r w:rsidR="00C6762C">
        <w:t>, 25 N.C. at 422</w:t>
      </w:r>
      <w:r w:rsidR="00783EB1">
        <w:t>-23</w:t>
      </w:r>
      <w:r w:rsidR="00C6762C">
        <w:t xml:space="preserve">, such that </w:t>
      </w:r>
      <w:r w:rsidR="007931C9">
        <w:t>it offended Northampton only if “</w:t>
      </w:r>
      <w:r w:rsidR="00C6762C" w:rsidRPr="00724645">
        <w:t>accompanied with such circumstances as are apt to terrify the people</w:t>
      </w:r>
      <w:r w:rsidR="00C6762C" w:rsidRPr="00FB1AF0">
        <w:t>,”</w:t>
      </w:r>
      <w:r w:rsidR="00C6762C" w:rsidRPr="00FB1AF0">
        <w:rPr>
          <w:iCs/>
        </w:rPr>
        <w:t xml:space="preserve"> </w:t>
      </w:r>
      <w:r w:rsidR="00C6762C" w:rsidRPr="00FB1AF0">
        <w:rPr>
          <w:smallCaps/>
        </w:rPr>
        <w:t>Haywood,</w:t>
      </w:r>
      <w:r w:rsidR="00C6762C" w:rsidRPr="00FB1AF0">
        <w:t xml:space="preserve"> </w:t>
      </w:r>
      <w:r w:rsidR="00C6762C" w:rsidRPr="00FB1AF0">
        <w:rPr>
          <w:i/>
          <w:iCs/>
        </w:rPr>
        <w:t>supra</w:t>
      </w:r>
      <w:r w:rsidR="00C6762C" w:rsidRPr="00FB1AF0">
        <w:t>, at 1</w:t>
      </w:r>
      <w:r w:rsidR="00FB1AF0">
        <w:t>1</w:t>
      </w:r>
      <w:r w:rsidR="00C6762C">
        <w:t xml:space="preserve">, the bare fact that firearms may have counted as “offensive weapons” for </w:t>
      </w:r>
      <w:r w:rsidR="00AB0C7C">
        <w:t>certain other</w:t>
      </w:r>
      <w:r w:rsidR="00C6762C">
        <w:t xml:space="preserve"> purposes did not bring the peaceable carrying of arms within the ambit of these laws.</w:t>
      </w:r>
      <w:r w:rsidR="00B43A54">
        <w:t xml:space="preserve"> </w:t>
      </w:r>
      <w:r w:rsidR="00B43A54">
        <w:rPr>
          <w:i/>
          <w:iCs/>
        </w:rPr>
        <w:t xml:space="preserve">Accord </w:t>
      </w:r>
      <w:r w:rsidR="00B43A54" w:rsidRPr="00E96F8E">
        <w:t xml:space="preserve">2 </w:t>
      </w:r>
      <w:r w:rsidR="00B43A54" w:rsidRPr="00E96F8E">
        <w:rPr>
          <w:iCs/>
          <w:smallCaps/>
        </w:rPr>
        <w:t xml:space="preserve">Hawkins, </w:t>
      </w:r>
      <w:r w:rsidR="00B43A54" w:rsidRPr="00E96F8E">
        <w:rPr>
          <w:i/>
        </w:rPr>
        <w:t>supra</w:t>
      </w:r>
      <w:r w:rsidR="00B43A54" w:rsidRPr="00E96F8E">
        <w:rPr>
          <w:iCs/>
        </w:rPr>
        <w:t>, at</w:t>
      </w:r>
      <w:r w:rsidR="00B43A54" w:rsidRPr="00E96F8E">
        <w:rPr>
          <w:iCs/>
          <w:smallCaps/>
        </w:rPr>
        <w:t xml:space="preserve"> </w:t>
      </w:r>
      <w:r w:rsidR="00B43A54" w:rsidRPr="00E96F8E">
        <w:rPr>
          <w:iCs/>
        </w:rPr>
        <w:t>21</w:t>
      </w:r>
      <w:r w:rsidR="00E82E0B" w:rsidRPr="00E96F8E">
        <w:rPr>
          <w:iCs/>
        </w:rPr>
        <w:t>-</w:t>
      </w:r>
      <w:r w:rsidR="00B43A54" w:rsidRPr="00E96F8E">
        <w:rPr>
          <w:iCs/>
        </w:rPr>
        <w:t>22</w:t>
      </w:r>
      <w:r w:rsidR="00B43A54">
        <w:t xml:space="preserve">. </w:t>
      </w:r>
      <w:r w:rsidR="00C6762C">
        <w:t xml:space="preserve">Rather, as Hawkins’s treatise </w:t>
      </w:r>
      <w:proofErr w:type="gramStart"/>
      <w:r w:rsidR="00C6762C">
        <w:t>explained,</w:t>
      </w:r>
      <w:proofErr w:type="gramEnd"/>
      <w:r w:rsidR="00C6762C">
        <w:t xml:space="preserve"> whether a weapon counted as “offensive” “must greatly depend on the circumstances of the case,” and it “is therefore a question </w:t>
      </w:r>
      <w:r w:rsidR="00D6629B">
        <w:t>of</w:t>
      </w:r>
      <w:r w:rsidR="00C6762C">
        <w:t xml:space="preserve"> fact fo</w:t>
      </w:r>
      <w:r w:rsidR="00D6629B">
        <w:t>r</w:t>
      </w:r>
      <w:r w:rsidR="00C6762C">
        <w:t xml:space="preserve"> the jury, whether the instrument was carried for the purposes of offence or not?” </w:t>
      </w:r>
      <w:r w:rsidR="00647503">
        <w:t xml:space="preserve">1 </w:t>
      </w:r>
      <w:r w:rsidR="002370C8" w:rsidRPr="00F76340">
        <w:rPr>
          <w:i/>
          <w:iCs/>
        </w:rPr>
        <w:t>id</w:t>
      </w:r>
      <w:r w:rsidR="002370C8" w:rsidRPr="002370C8">
        <w:rPr>
          <w:i/>
          <w:iCs/>
        </w:rPr>
        <w:t>.</w:t>
      </w:r>
      <w:r w:rsidR="00647503">
        <w:t xml:space="preserve"> at </w:t>
      </w:r>
      <w:r w:rsidR="00E902B5">
        <w:t>492.</w:t>
      </w:r>
    </w:p>
    <w:p w14:paraId="76138290" w14:textId="323B3BB8" w:rsidR="006E4E66" w:rsidRDefault="008D5DFF" w:rsidP="008D5DFF">
      <w:r w:rsidRPr="008E6129">
        <w:t xml:space="preserve">The practices of the Founding generation confirm that </w:t>
      </w:r>
      <w:r w:rsidR="003917CA">
        <w:t>early Americans enjoyed and widely practiced the right</w:t>
      </w:r>
      <w:r w:rsidR="00CE72CF">
        <w:t xml:space="preserve"> </w:t>
      </w:r>
      <w:r w:rsidR="003917CA">
        <w:t>to carry</w:t>
      </w:r>
      <w:r>
        <w:t xml:space="preserve"> firearms out of doors</w:t>
      </w:r>
      <w:r w:rsidR="006E4E66">
        <w:t>:</w:t>
      </w:r>
      <w:r w:rsidRPr="008E6129">
        <w:t xml:space="preserve"> </w:t>
      </w:r>
    </w:p>
    <w:p w14:paraId="657EFBD3" w14:textId="0258959E" w:rsidR="006E4E66" w:rsidRPr="00FB1AF0" w:rsidRDefault="008D5DFF" w:rsidP="00D049E8">
      <w:pPr>
        <w:pStyle w:val="ListParagraph"/>
        <w:numPr>
          <w:ilvl w:val="0"/>
          <w:numId w:val="32"/>
        </w:numPr>
        <w:ind w:left="720" w:right="346"/>
        <w:contextualSpacing w:val="0"/>
      </w:pPr>
      <w:r w:rsidRPr="00FB1AF0">
        <w:t>George Washington</w:t>
      </w:r>
      <w:r w:rsidR="00B97694">
        <w:t xml:space="preserve"> regularly used a gun for hunting, </w:t>
      </w:r>
      <w:bookmarkStart w:id="4" w:name="_Hlk77318988"/>
      <w:r w:rsidR="00B97694" w:rsidRPr="000D3C3D">
        <w:rPr>
          <w:smallCaps/>
        </w:rPr>
        <w:t>Paul L. Haworth, George Washington: Farmer</w:t>
      </w:r>
      <w:r w:rsidR="00B97694">
        <w:t xml:space="preserve"> 255 (1915)</w:t>
      </w:r>
      <w:bookmarkEnd w:id="4"/>
      <w:r w:rsidR="00B97694">
        <w:t xml:space="preserve">, and advised his grandson to do the same, </w:t>
      </w:r>
      <w:bookmarkStart w:id="5" w:name="_Hlk77319152"/>
      <w:r w:rsidR="00B97694" w:rsidRPr="000D3C3D">
        <w:rPr>
          <w:smallCaps/>
        </w:rPr>
        <w:t xml:space="preserve">Paul M. </w:t>
      </w:r>
      <w:proofErr w:type="spellStart"/>
      <w:r w:rsidR="00B97694" w:rsidRPr="000D3C3D">
        <w:rPr>
          <w:smallCaps/>
        </w:rPr>
        <w:t>Zall</w:t>
      </w:r>
      <w:proofErr w:type="spellEnd"/>
      <w:r w:rsidR="00B97694" w:rsidRPr="000D3C3D">
        <w:rPr>
          <w:smallCaps/>
        </w:rPr>
        <w:t>, Washington on Washington 136-37 (2003)</w:t>
      </w:r>
      <w:bookmarkEnd w:id="5"/>
      <w:r w:rsidR="00B97694">
        <w:t>. He also</w:t>
      </w:r>
      <w:r w:rsidRPr="00FB1AF0">
        <w:t xml:space="preserve"> carried a firearm on a </w:t>
      </w:r>
      <w:r w:rsidR="000D1215">
        <w:t>trip</w:t>
      </w:r>
      <w:r w:rsidR="000D1215" w:rsidRPr="00FB1AF0">
        <w:t xml:space="preserve"> </w:t>
      </w:r>
      <w:r w:rsidRPr="00FB1AF0">
        <w:t xml:space="preserve">into the Ohio Country. </w:t>
      </w:r>
      <w:bookmarkStart w:id="6" w:name="_Hlk74836152"/>
      <w:r w:rsidRPr="00FB1AF0">
        <w:rPr>
          <w:smallCaps/>
        </w:rPr>
        <w:t>William M. Darlington</w:t>
      </w:r>
      <w:r w:rsidRPr="00FB1AF0">
        <w:t xml:space="preserve">, </w:t>
      </w:r>
      <w:r w:rsidRPr="00FB1AF0">
        <w:rPr>
          <w:smallCaps/>
        </w:rPr>
        <w:t>Christopher Gist’s Journals</w:t>
      </w:r>
      <w:r w:rsidRPr="00FB1AF0">
        <w:t xml:space="preserve"> 85</w:t>
      </w:r>
      <w:r w:rsidR="00E82E0B" w:rsidRPr="00FB1AF0">
        <w:t>-</w:t>
      </w:r>
      <w:r w:rsidRPr="00FB1AF0">
        <w:t>86 (1893)</w:t>
      </w:r>
      <w:bookmarkEnd w:id="6"/>
      <w:r w:rsidRPr="00FB1AF0">
        <w:t xml:space="preserve">. </w:t>
      </w:r>
    </w:p>
    <w:p w14:paraId="499D987F" w14:textId="53F524F6" w:rsidR="006E4E66" w:rsidRPr="003D0C69" w:rsidRDefault="008D5DFF" w:rsidP="00D049E8">
      <w:pPr>
        <w:pStyle w:val="ListParagraph"/>
        <w:numPr>
          <w:ilvl w:val="0"/>
          <w:numId w:val="32"/>
        </w:numPr>
        <w:ind w:left="720" w:right="346"/>
        <w:contextualSpacing w:val="0"/>
      </w:pPr>
      <w:r w:rsidRPr="003D0C69">
        <w:lastRenderedPageBreak/>
        <w:t>Thomas Jefferson advised his nephew to “[l]</w:t>
      </w:r>
      <w:proofErr w:type="spellStart"/>
      <w:r w:rsidRPr="003D0C69">
        <w:t>et</w:t>
      </w:r>
      <w:proofErr w:type="spellEnd"/>
      <w:r w:rsidRPr="003D0C69">
        <w:t xml:space="preserve"> your gun </w:t>
      </w:r>
      <w:r w:rsidR="005D04B9">
        <w:t>…</w:t>
      </w:r>
      <w:r w:rsidRPr="003D0C69">
        <w:t xml:space="preserve"> be the </w:t>
      </w:r>
      <w:r w:rsidRPr="003D0C69">
        <w:rPr>
          <w:i/>
          <w:iCs/>
        </w:rPr>
        <w:t>constant</w:t>
      </w:r>
      <w:r w:rsidRPr="003D0C69">
        <w:t xml:space="preserve"> companion of your walks,” 1 </w:t>
      </w:r>
      <w:r w:rsidRPr="003D0C69">
        <w:rPr>
          <w:smallCaps/>
        </w:rPr>
        <w:t xml:space="preserve">The </w:t>
      </w:r>
      <w:r w:rsidR="00C43A7A">
        <w:rPr>
          <w:smallCaps/>
        </w:rPr>
        <w:t>Writings</w:t>
      </w:r>
      <w:r w:rsidR="00C43A7A" w:rsidRPr="003D0C69">
        <w:rPr>
          <w:smallCaps/>
        </w:rPr>
        <w:t xml:space="preserve"> </w:t>
      </w:r>
      <w:r w:rsidRPr="003D0C69">
        <w:rPr>
          <w:smallCaps/>
        </w:rPr>
        <w:t>of Thomas Jefferson</w:t>
      </w:r>
      <w:r w:rsidRPr="003D0C69">
        <w:t xml:space="preserve"> 398 (letter of Aug. 19, 1785) (H. A. Washington ed., 1884)</w:t>
      </w:r>
      <w:r w:rsidR="00BC044F" w:rsidRPr="003D0C69">
        <w:t xml:space="preserve"> (emphasis added)</w:t>
      </w:r>
      <w:r w:rsidRPr="003D0C69">
        <w:t xml:space="preserve">, and Jefferson himself traveled with pistols for self-protection and designed a holster to allow for their ready retrieval, </w:t>
      </w:r>
      <w:r w:rsidRPr="003D0C69">
        <w:rPr>
          <w:i/>
        </w:rPr>
        <w:t>see Firearms</w:t>
      </w:r>
      <w:r w:rsidRPr="003D0C69">
        <w:t xml:space="preserve">, </w:t>
      </w:r>
      <w:r w:rsidRPr="003D0C69">
        <w:rPr>
          <w:smallCaps/>
        </w:rPr>
        <w:t>Monticello</w:t>
      </w:r>
      <w:r w:rsidRPr="003D0C69">
        <w:t xml:space="preserve">, </w:t>
      </w:r>
      <w:r w:rsidR="001A6734" w:rsidRPr="001A6734">
        <w:t>https://bit.ly/3hJJsvb</w:t>
      </w:r>
      <w:r w:rsidRPr="003D0C69">
        <w:t xml:space="preserve">. </w:t>
      </w:r>
      <w:r w:rsidR="00325922">
        <w:t xml:space="preserve">He also described the Constitution as protecting the People’s “right and duty to be at all times armed.” </w:t>
      </w:r>
      <w:bookmarkStart w:id="7" w:name="_Hlk77319548"/>
      <w:r w:rsidR="00325922">
        <w:t xml:space="preserve">Thomas Jefferson, </w:t>
      </w:r>
      <w:r w:rsidR="00325922">
        <w:rPr>
          <w:i/>
          <w:iCs/>
        </w:rPr>
        <w:t>Letter to John Cartwright, June 5, 1824</w:t>
      </w:r>
      <w:r w:rsidR="00325922">
        <w:t xml:space="preserve">, </w:t>
      </w:r>
      <w:proofErr w:type="spellStart"/>
      <w:r w:rsidR="00325922">
        <w:rPr>
          <w:smallCaps/>
        </w:rPr>
        <w:t>Nat’l</w:t>
      </w:r>
      <w:proofErr w:type="spellEnd"/>
      <w:r w:rsidR="00325922">
        <w:rPr>
          <w:smallCaps/>
        </w:rPr>
        <w:t xml:space="preserve"> Archives Founders Online, </w:t>
      </w:r>
      <w:r w:rsidR="00325922" w:rsidRPr="000D3C3D">
        <w:t>https://bit.ly</w:t>
      </w:r>
      <w:r w:rsidR="00325922">
        <w:t>‌</w:t>
      </w:r>
      <w:r w:rsidR="00325922" w:rsidRPr="000D3C3D">
        <w:t>/2TedtKb</w:t>
      </w:r>
      <w:bookmarkEnd w:id="7"/>
      <w:r w:rsidR="00325922">
        <w:t>.</w:t>
      </w:r>
    </w:p>
    <w:p w14:paraId="6E843262" w14:textId="6ADCB6E1" w:rsidR="00337FB8" w:rsidRDefault="000B2927" w:rsidP="00D049E8">
      <w:pPr>
        <w:pStyle w:val="ListParagraph"/>
        <w:numPr>
          <w:ilvl w:val="0"/>
          <w:numId w:val="32"/>
        </w:numPr>
        <w:ind w:left="720" w:right="346"/>
        <w:contextualSpacing w:val="0"/>
      </w:pPr>
      <w:bookmarkStart w:id="8" w:name="_Hlk74655723"/>
      <w:r w:rsidRPr="008D4D5E">
        <w:t xml:space="preserve">James Madison </w:t>
      </w:r>
      <w:r w:rsidR="008038E0" w:rsidRPr="008D4D5E">
        <w:t>u</w:t>
      </w:r>
      <w:r w:rsidRPr="008D4D5E">
        <w:t>sed arms sufficiently frequently to develop a good enough aim that he “should not often miss</w:t>
      </w:r>
      <w:r w:rsidR="008038E0" w:rsidRPr="008D4D5E">
        <w:t xml:space="preserve"> </w:t>
      </w:r>
      <w:r w:rsidR="005D04B9">
        <w:t>…</w:t>
      </w:r>
      <w:r w:rsidR="008038E0" w:rsidRPr="008D4D5E">
        <w:t xml:space="preserve"> on a fair trial at [100 yards’] distance.” 1 </w:t>
      </w:r>
      <w:r w:rsidR="008038E0" w:rsidRPr="008D4D5E">
        <w:rPr>
          <w:smallCaps/>
        </w:rPr>
        <w:t>The Papers of James Madison</w:t>
      </w:r>
      <w:r w:rsidR="008038E0" w:rsidRPr="008D4D5E">
        <w:t xml:space="preserve"> 151</w:t>
      </w:r>
      <w:r w:rsidR="000E101B">
        <w:t>-</w:t>
      </w:r>
      <w:r w:rsidR="008038E0" w:rsidRPr="008D4D5E">
        <w:t>54 (William T. Hutchinson &amp; William M.E. Rachal eds</w:t>
      </w:r>
      <w:r w:rsidR="00E30C36">
        <w:t>.</w:t>
      </w:r>
      <w:r w:rsidR="008038E0" w:rsidRPr="008D4D5E">
        <w:t>, 1962).</w:t>
      </w:r>
    </w:p>
    <w:p w14:paraId="2A0F9CA8" w14:textId="026A5DC9" w:rsidR="001A6734" w:rsidRPr="008D4D5E" w:rsidRDefault="001A6734" w:rsidP="00D049E8">
      <w:pPr>
        <w:pStyle w:val="ListParagraph"/>
        <w:numPr>
          <w:ilvl w:val="0"/>
          <w:numId w:val="32"/>
        </w:numPr>
        <w:ind w:left="720" w:right="346"/>
        <w:contextualSpacing w:val="0"/>
      </w:pPr>
      <w:r>
        <w:t>Alexander Hamilton was often “seen wandering through the woods of Harlem with a single-</w:t>
      </w:r>
      <w:proofErr w:type="spellStart"/>
      <w:r>
        <w:t>barrelled</w:t>
      </w:r>
      <w:proofErr w:type="spellEnd"/>
      <w:r>
        <w:t xml:space="preserve"> fowling-piece.” </w:t>
      </w:r>
      <w:bookmarkStart w:id="9" w:name="_Hlk77320145"/>
      <w:r w:rsidRPr="000D3C3D">
        <w:rPr>
          <w:smallCaps/>
        </w:rPr>
        <w:t>Allan McLane Hamilton, The Intimate Life of Alexander Hamilton</w:t>
      </w:r>
      <w:r>
        <w:t xml:space="preserve"> 349 (1910)</w:t>
      </w:r>
      <w:bookmarkEnd w:id="9"/>
      <w:r>
        <w:t>.</w:t>
      </w:r>
    </w:p>
    <w:bookmarkEnd w:id="8"/>
    <w:p w14:paraId="12E84A62" w14:textId="71E1F3C7" w:rsidR="00D049E8" w:rsidRPr="00F0255D" w:rsidRDefault="006E4E66" w:rsidP="00D049E8">
      <w:pPr>
        <w:pStyle w:val="ListParagraph"/>
        <w:numPr>
          <w:ilvl w:val="0"/>
          <w:numId w:val="32"/>
        </w:numPr>
        <w:ind w:left="720" w:right="346"/>
        <w:contextualSpacing w:val="0"/>
      </w:pPr>
      <w:r w:rsidRPr="00F0255D">
        <w:t>I</w:t>
      </w:r>
      <w:r w:rsidR="008D5DFF" w:rsidRPr="00F0255D">
        <w:t xml:space="preserve">n defending the British soldiers charged in the Boston Massacre, </w:t>
      </w:r>
      <w:r w:rsidR="008A358C" w:rsidRPr="00F0255D">
        <w:t xml:space="preserve">rather than arguing that the colonists who </w:t>
      </w:r>
      <w:r w:rsidR="00972553" w:rsidRPr="00F0255D">
        <w:t>clashed with</w:t>
      </w:r>
      <w:r w:rsidR="008A358C" w:rsidRPr="00F0255D">
        <w:t xml:space="preserve"> </w:t>
      </w:r>
      <w:r w:rsidR="00BB1B9F" w:rsidRPr="00F0255D">
        <w:t>his clients</w:t>
      </w:r>
      <w:r w:rsidR="008A358C" w:rsidRPr="00F0255D">
        <w:t xml:space="preserve"> had no right to </w:t>
      </w:r>
      <w:r w:rsidR="00BB1B9F" w:rsidRPr="00F0255D">
        <w:t xml:space="preserve">bear arms in public, </w:t>
      </w:r>
      <w:r w:rsidR="008D5DFF" w:rsidRPr="00F0255D">
        <w:lastRenderedPageBreak/>
        <w:t xml:space="preserve">John Adams conceded that, in this country, “every private person is authorized to arm himself; and on the strength of this </w:t>
      </w:r>
      <w:proofErr w:type="gramStart"/>
      <w:r w:rsidR="008D5DFF" w:rsidRPr="00F0255D">
        <w:t>authority</w:t>
      </w:r>
      <w:proofErr w:type="gramEnd"/>
      <w:r w:rsidR="008D5DFF" w:rsidRPr="00F0255D">
        <w:t xml:space="preserve"> I do not deny the inhabitants had a right to arm themselves at that time for their </w:t>
      </w:r>
      <w:proofErr w:type="spellStart"/>
      <w:r w:rsidR="008D5DFF" w:rsidRPr="00F0255D">
        <w:t>defence</w:t>
      </w:r>
      <w:proofErr w:type="spellEnd"/>
      <w:r w:rsidR="008D5DFF" w:rsidRPr="00F0255D">
        <w:t xml:space="preserve">.” John Adams, </w:t>
      </w:r>
      <w:r w:rsidR="00F0255D">
        <w:rPr>
          <w:i/>
          <w:iCs/>
        </w:rPr>
        <w:t>Argument for the Defense: 3-4 December 1770</w:t>
      </w:r>
      <w:r w:rsidR="00F0255D">
        <w:t>,</w:t>
      </w:r>
      <w:r w:rsidR="008D5DFF" w:rsidRPr="00F0255D">
        <w:rPr>
          <w:i/>
          <w:iCs/>
        </w:rPr>
        <w:t xml:space="preserve"> </w:t>
      </w:r>
      <w:proofErr w:type="spellStart"/>
      <w:r w:rsidR="00F0255D">
        <w:rPr>
          <w:smallCaps/>
        </w:rPr>
        <w:t>Nat’l</w:t>
      </w:r>
      <w:proofErr w:type="spellEnd"/>
      <w:r w:rsidR="00F0255D">
        <w:rPr>
          <w:smallCaps/>
        </w:rPr>
        <w:t xml:space="preserve"> Archives Founders Online,</w:t>
      </w:r>
      <w:r w:rsidR="008D5DFF" w:rsidRPr="00F0255D">
        <w:t xml:space="preserve"> </w:t>
      </w:r>
      <w:r w:rsidR="00F0255D" w:rsidRPr="006346C8">
        <w:t>https://bit.ly/35FCuRh</w:t>
      </w:r>
      <w:r w:rsidR="008D5DFF" w:rsidRPr="00F0255D">
        <w:t>.</w:t>
      </w:r>
      <w:r w:rsidRPr="00F0255D">
        <w:t xml:space="preserve"> </w:t>
      </w:r>
    </w:p>
    <w:p w14:paraId="13342E39" w14:textId="78A51487" w:rsidR="00D049E8" w:rsidRPr="00FB1AF0" w:rsidRDefault="006E4E66" w:rsidP="00D049E8">
      <w:pPr>
        <w:pStyle w:val="ListParagraph"/>
        <w:numPr>
          <w:ilvl w:val="0"/>
          <w:numId w:val="32"/>
        </w:numPr>
        <w:ind w:left="720" w:right="346"/>
        <w:contextualSpacing w:val="0"/>
      </w:pPr>
      <w:r w:rsidRPr="00FB1AF0">
        <w:t xml:space="preserve">Adams spoke from experience: as a schoolboy he was </w:t>
      </w:r>
      <w:r w:rsidR="00D049E8" w:rsidRPr="00FB1AF0">
        <w:t xml:space="preserve">so </w:t>
      </w:r>
      <w:r w:rsidRPr="00FB1AF0">
        <w:t>fond of shooting for sport</w:t>
      </w:r>
      <w:r w:rsidR="00D049E8" w:rsidRPr="00FB1AF0">
        <w:t xml:space="preserve"> that he used to take his gun “to school and leave it in the entry and the moment it was over went into the field to kill crows and squirrels.” 3 </w:t>
      </w:r>
      <w:r w:rsidR="00D049E8" w:rsidRPr="00FB1AF0">
        <w:rPr>
          <w:smallCaps/>
        </w:rPr>
        <w:t>Diary and Autobiography of John Adams</w:t>
      </w:r>
      <w:r w:rsidR="00D049E8" w:rsidRPr="00FB1AF0">
        <w:t xml:space="preserve"> </w:t>
      </w:r>
      <w:r w:rsidR="003D7A75">
        <w:t>2</w:t>
      </w:r>
      <w:r w:rsidR="00D049E8" w:rsidRPr="00FB1AF0">
        <w:t>57</w:t>
      </w:r>
      <w:r w:rsidR="00E82E0B" w:rsidRPr="00FB1AF0">
        <w:t>-</w:t>
      </w:r>
      <w:r w:rsidR="00D049E8" w:rsidRPr="00FB1AF0">
        <w:t>61 (</w:t>
      </w:r>
      <w:proofErr w:type="spellStart"/>
      <w:r w:rsidR="00D049E8" w:rsidRPr="00FB1AF0">
        <w:t>L.H</w:t>
      </w:r>
      <w:proofErr w:type="spellEnd"/>
      <w:r w:rsidR="00D049E8" w:rsidRPr="00FB1AF0">
        <w:t xml:space="preserve">. Butterfield ed., 1961). </w:t>
      </w:r>
    </w:p>
    <w:p w14:paraId="6EEDD93A" w14:textId="459CA7DC" w:rsidR="00CB4F80" w:rsidRDefault="00CB4F80" w:rsidP="00D049E8">
      <w:pPr>
        <w:pStyle w:val="ListParagraph"/>
        <w:numPr>
          <w:ilvl w:val="0"/>
          <w:numId w:val="32"/>
        </w:numPr>
        <w:ind w:left="720" w:right="346"/>
        <w:contextualSpacing w:val="0"/>
      </w:pPr>
      <w:r>
        <w:t xml:space="preserve">Taking after his father, </w:t>
      </w:r>
      <w:r w:rsidRPr="00CB4F80">
        <w:t xml:space="preserve">John Quincy Adams also </w:t>
      </w:r>
      <w:r>
        <w:t>frequently used arms for hunting as a young man</w:t>
      </w:r>
      <w:r w:rsidRPr="00CB4F80">
        <w:t>.</w:t>
      </w:r>
      <w:r>
        <w:t xml:space="preserve"> His diary repeatedly records how he “went out with the gun</w:t>
      </w:r>
      <w:r w:rsidR="008D3A7F">
        <w:t>,</w:t>
      </w:r>
      <w:r>
        <w:t>”</w:t>
      </w:r>
      <w:r w:rsidR="008D3A7F">
        <w:t xml:space="preserve"> </w:t>
      </w:r>
      <w:bookmarkStart w:id="10" w:name="_Hlk77317809"/>
      <w:r w:rsidR="008D3A7F">
        <w:t xml:space="preserve">John Quincy Adams, </w:t>
      </w:r>
      <w:r w:rsidR="008D3A7F" w:rsidRPr="000D3C3D">
        <w:rPr>
          <w:i/>
          <w:iCs/>
        </w:rPr>
        <w:t xml:space="preserve">October </w:t>
      </w:r>
      <w:r w:rsidR="008D3A7F">
        <w:rPr>
          <w:i/>
          <w:iCs/>
        </w:rPr>
        <w:t>6th</w:t>
      </w:r>
      <w:r w:rsidR="008D3A7F" w:rsidRPr="000D3C3D">
        <w:rPr>
          <w:i/>
          <w:iCs/>
        </w:rPr>
        <w:t>, 1785</w:t>
      </w:r>
      <w:r w:rsidR="008D3A7F">
        <w:t xml:space="preserve">, </w:t>
      </w:r>
      <w:proofErr w:type="spellStart"/>
      <w:r w:rsidR="008D3A7F">
        <w:rPr>
          <w:smallCaps/>
        </w:rPr>
        <w:t>Nat’l</w:t>
      </w:r>
      <w:proofErr w:type="spellEnd"/>
      <w:r w:rsidR="008D3A7F">
        <w:rPr>
          <w:smallCaps/>
        </w:rPr>
        <w:t xml:space="preserve"> Archives Founders Online,</w:t>
      </w:r>
      <w:r w:rsidR="008D3A7F" w:rsidRPr="008D3A7F">
        <w:t xml:space="preserve"> </w:t>
      </w:r>
      <w:r w:rsidR="008D3A7F" w:rsidRPr="000D3C3D">
        <w:t>https://bit.ly</w:t>
      </w:r>
      <w:r w:rsidR="008D3A7F">
        <w:t>‌</w:t>
      </w:r>
      <w:r w:rsidR="008D3A7F" w:rsidRPr="000D3C3D">
        <w:t>/3kmmtIt</w:t>
      </w:r>
      <w:bookmarkEnd w:id="10"/>
      <w:r w:rsidR="008D3A7F">
        <w:t>,</w:t>
      </w:r>
      <w:r>
        <w:t xml:space="preserve"> or “went with my gun down upon the marshes</w:t>
      </w:r>
      <w:r w:rsidR="008D3A7F">
        <w:t>,</w:t>
      </w:r>
      <w:r>
        <w:t>”</w:t>
      </w:r>
      <w:r w:rsidR="008D3A7F">
        <w:t xml:space="preserve"> </w:t>
      </w:r>
      <w:bookmarkStart w:id="11" w:name="_Hlk77317837"/>
      <w:r w:rsidR="008D3A7F">
        <w:t xml:space="preserve">John Quincy Adams, </w:t>
      </w:r>
      <w:r w:rsidR="008D3A7F">
        <w:rPr>
          <w:i/>
          <w:iCs/>
        </w:rPr>
        <w:t>August 29th, 1787</w:t>
      </w:r>
      <w:r w:rsidR="008D3A7F">
        <w:t xml:space="preserve">, </w:t>
      </w:r>
      <w:proofErr w:type="spellStart"/>
      <w:r w:rsidR="008D3A7F">
        <w:rPr>
          <w:smallCaps/>
        </w:rPr>
        <w:t>Nat’l</w:t>
      </w:r>
      <w:proofErr w:type="spellEnd"/>
      <w:r w:rsidR="008D3A7F">
        <w:rPr>
          <w:smallCaps/>
        </w:rPr>
        <w:t xml:space="preserve"> Archives Founders Online,</w:t>
      </w:r>
      <w:r w:rsidR="008D3A7F" w:rsidRPr="008D3A7F">
        <w:t xml:space="preserve"> </w:t>
      </w:r>
      <w:r w:rsidR="008D3A7F" w:rsidRPr="000D3C3D">
        <w:t>https://bit.ly/3reIdaq</w:t>
      </w:r>
      <w:bookmarkEnd w:id="11"/>
      <w:r w:rsidR="008D3A7F">
        <w:t>.</w:t>
      </w:r>
    </w:p>
    <w:p w14:paraId="573C1A07" w14:textId="5EEAC0A8" w:rsidR="00337FB8" w:rsidRPr="00FB1AF0" w:rsidRDefault="00337FB8" w:rsidP="00D049E8">
      <w:pPr>
        <w:pStyle w:val="ListParagraph"/>
        <w:numPr>
          <w:ilvl w:val="0"/>
          <w:numId w:val="32"/>
        </w:numPr>
        <w:ind w:left="720" w:right="346"/>
        <w:contextualSpacing w:val="0"/>
      </w:pPr>
      <w:r w:rsidRPr="00FB1AF0">
        <w:t>In 1765, an angry mob besieged Benjamin Franklin’s home while he was away in London, forcing his wife Deborah to call upon local friends and relatives “to fetch a gun or two” an</w:t>
      </w:r>
      <w:r w:rsidR="00A04351" w:rsidRPr="00FB1AF0">
        <w:t>d</w:t>
      </w:r>
      <w:r w:rsidRPr="00FB1AF0">
        <w:t xml:space="preserve"> rally to defend the home. </w:t>
      </w:r>
      <w:r w:rsidRPr="00FB1AF0">
        <w:rPr>
          <w:smallCaps/>
        </w:rPr>
        <w:t xml:space="preserve">Walter </w:t>
      </w:r>
      <w:r w:rsidRPr="00FB1AF0">
        <w:rPr>
          <w:smallCaps/>
        </w:rPr>
        <w:lastRenderedPageBreak/>
        <w:t>Isaacson, Benjamin Franklin</w:t>
      </w:r>
      <w:r w:rsidRPr="00FB1AF0">
        <w:t xml:space="preserve"> 224</w:t>
      </w:r>
      <w:r w:rsidR="006364AD" w:rsidRPr="00FB1AF0">
        <w:t>-</w:t>
      </w:r>
      <w:r w:rsidRPr="00FB1AF0">
        <w:t>25 (2004).</w:t>
      </w:r>
    </w:p>
    <w:p w14:paraId="05E16E9C" w14:textId="084B150F" w:rsidR="00337FB8" w:rsidRPr="002C19E7" w:rsidRDefault="00A04351" w:rsidP="00D049E8">
      <w:pPr>
        <w:pStyle w:val="ListParagraph"/>
        <w:numPr>
          <w:ilvl w:val="0"/>
          <w:numId w:val="32"/>
        </w:numPr>
        <w:ind w:left="720" w:right="346"/>
        <w:contextualSpacing w:val="0"/>
      </w:pPr>
      <w:r w:rsidRPr="002C19E7">
        <w:t xml:space="preserve">Similarly, in the 1779 “Fort Wilson Riot,” James Wilson and his supporters, armed, defended his home from attack by an angry mob rioting over high wartime prices. 1 </w:t>
      </w:r>
      <w:r w:rsidRPr="002C19E7">
        <w:rPr>
          <w:smallCaps/>
        </w:rPr>
        <w:t xml:space="preserve">Hugh D. Graham &amp; Ted R. </w:t>
      </w:r>
      <w:proofErr w:type="spellStart"/>
      <w:r w:rsidRPr="002C19E7">
        <w:rPr>
          <w:smallCaps/>
        </w:rPr>
        <w:t>Gurr</w:t>
      </w:r>
      <w:proofErr w:type="spellEnd"/>
      <w:r w:rsidRPr="002C19E7">
        <w:rPr>
          <w:smallCaps/>
        </w:rPr>
        <w:t>, Violence in America</w:t>
      </w:r>
      <w:r w:rsidRPr="002C19E7">
        <w:t xml:space="preserve"> 408</w:t>
      </w:r>
      <w:r w:rsidR="006E1614">
        <w:t>-</w:t>
      </w:r>
      <w:r w:rsidRPr="002C19E7">
        <w:t>09 (1969).</w:t>
      </w:r>
    </w:p>
    <w:p w14:paraId="7FE842B9" w14:textId="11ACF752" w:rsidR="00722FB5" w:rsidRPr="00FB1AF0" w:rsidRDefault="00722FB5" w:rsidP="00D049E8">
      <w:pPr>
        <w:pStyle w:val="ListParagraph"/>
        <w:numPr>
          <w:ilvl w:val="0"/>
          <w:numId w:val="32"/>
        </w:numPr>
        <w:ind w:left="720" w:right="346"/>
        <w:contextualSpacing w:val="0"/>
      </w:pPr>
      <w:r w:rsidRPr="00FB1AF0">
        <w:t>James Monroe, likewise, was accustomed to carrying his “musket slung across his back” on his way to school in the 1760s</w:t>
      </w:r>
      <w:r w:rsidR="00325922">
        <w:t>,</w:t>
      </w:r>
      <w:r w:rsidRPr="00FB1AF0">
        <w:t xml:space="preserve"> </w:t>
      </w:r>
      <w:r w:rsidRPr="00FB1AF0">
        <w:rPr>
          <w:smallCaps/>
        </w:rPr>
        <w:t>Tim McGrath, James Monroe</w:t>
      </w:r>
      <w:r w:rsidRPr="00FB1AF0">
        <w:t xml:space="preserve"> </w:t>
      </w:r>
      <w:r w:rsidR="00F83939">
        <w:t>9</w:t>
      </w:r>
      <w:r w:rsidRPr="00FB1AF0">
        <w:t xml:space="preserve"> (2020)</w:t>
      </w:r>
      <w:r w:rsidR="00325922">
        <w:t xml:space="preserve">, and later described how he “kept my pistols by me in the carriage” when travelling, </w:t>
      </w:r>
      <w:bookmarkStart w:id="12" w:name="_Hlk77319790"/>
      <w:r w:rsidR="00325922">
        <w:t xml:space="preserve">5 </w:t>
      </w:r>
      <w:r w:rsidR="00E30C36">
        <w:t>T</w:t>
      </w:r>
      <w:r w:rsidR="00325922" w:rsidRPr="000D3C3D">
        <w:rPr>
          <w:smallCaps/>
        </w:rPr>
        <w:t>he Papers of James Monroe</w:t>
      </w:r>
      <w:r w:rsidR="00325922">
        <w:t xml:space="preserve"> 294 (Daniel Preston ed., 2014)</w:t>
      </w:r>
      <w:r w:rsidRPr="00FB1AF0">
        <w:t>.</w:t>
      </w:r>
      <w:bookmarkEnd w:id="12"/>
    </w:p>
    <w:p w14:paraId="7E8B3D6B" w14:textId="0DAC51FF" w:rsidR="00E33847" w:rsidRDefault="00565243" w:rsidP="00E73D75">
      <w:pPr>
        <w:ind w:firstLine="0"/>
      </w:pPr>
      <w:r>
        <w:t>Given this historical record, this Court must either declare each of the</w:t>
      </w:r>
      <w:r w:rsidR="00303474">
        <w:t xml:space="preserve">se </w:t>
      </w:r>
      <w:r w:rsidR="009A4DD4">
        <w:t>F</w:t>
      </w:r>
      <w:r w:rsidR="00303474">
        <w:t>ounders to be</w:t>
      </w:r>
      <w:r w:rsidR="008D3A7F">
        <w:t xml:space="preserve"> habitual</w:t>
      </w:r>
      <w:r w:rsidR="00303474">
        <w:t xml:space="preserve"> </w:t>
      </w:r>
      <w:r w:rsidR="002C319C">
        <w:t>criminals</w:t>
      </w:r>
      <w:r w:rsidR="00303474">
        <w:t xml:space="preserve"> or acknowledge that there was, in fact, no prohibition on carrying firearms</w:t>
      </w:r>
      <w:r w:rsidR="00EB7ED8">
        <w:t xml:space="preserve"> at the time of the </w:t>
      </w:r>
      <w:r w:rsidR="009A4DD4">
        <w:t>F</w:t>
      </w:r>
      <w:r w:rsidR="00EB7ED8">
        <w:t xml:space="preserve">ounding. </w:t>
      </w:r>
      <w:r w:rsidR="00F30139">
        <w:t>And</w:t>
      </w:r>
      <w:r w:rsidR="001E58B9">
        <w:t xml:space="preserve"> it is not just the Founders that, according to respondents’ </w:t>
      </w:r>
      <w:r w:rsidR="00FB7A73">
        <w:t xml:space="preserve">reading of history, are scofflaws.  Hunting was </w:t>
      </w:r>
      <w:r w:rsidR="00B346AC">
        <w:t>a primary means of sustenance in much</w:t>
      </w:r>
      <w:r w:rsidR="00FB7A73">
        <w:t xml:space="preserve"> </w:t>
      </w:r>
      <w:r w:rsidR="00B346AC">
        <w:t xml:space="preserve">of </w:t>
      </w:r>
      <w:r w:rsidR="00FB7A73">
        <w:t>Virginia and Massachusetts</w:t>
      </w:r>
      <w:r w:rsidR="00B346AC">
        <w:t xml:space="preserve"> and the other states with Northampton analogues</w:t>
      </w:r>
      <w:r w:rsidR="00B56DD7">
        <w:t>.</w:t>
      </w:r>
      <w:r w:rsidR="00DA2710">
        <w:t xml:space="preserve">  Respondents cannot point to a single hunter (or any other law</w:t>
      </w:r>
      <w:r w:rsidR="00722FB5">
        <w:t>-</w:t>
      </w:r>
      <w:r w:rsidR="00DA2710">
        <w:t xml:space="preserve">abiding citizen) </w:t>
      </w:r>
      <w:r w:rsidR="009A4DD4">
        <w:t>who</w:t>
      </w:r>
      <w:r w:rsidR="00DA2710">
        <w:t xml:space="preserve"> was prosecuted fo</w:t>
      </w:r>
      <w:r w:rsidR="000D1215">
        <w:t>r</w:t>
      </w:r>
      <w:r w:rsidR="00DA2710">
        <w:t xml:space="preserve"> the d</w:t>
      </w:r>
      <w:r w:rsidR="00E33847">
        <w:t xml:space="preserve">aily violations of the law that Respondents hypothesize.  </w:t>
      </w:r>
    </w:p>
    <w:p w14:paraId="49B1A568" w14:textId="77777777" w:rsidR="007F2D64" w:rsidRDefault="00624354" w:rsidP="007F2D64">
      <w:r>
        <w:t>Others in the Founding generation also routinely carried arms outside the home for self-defense</w:t>
      </w:r>
      <w:r w:rsidR="007F2D64">
        <w:t xml:space="preserve">. </w:t>
      </w:r>
      <w:r w:rsidR="007F2D64" w:rsidRPr="007F2D64">
        <w:lastRenderedPageBreak/>
        <w:t xml:space="preserve">Tensions between the European colonists and the native peoples started early. Bernard </w:t>
      </w:r>
      <w:proofErr w:type="spellStart"/>
      <w:r w:rsidR="007F2D64" w:rsidRPr="007F2D64">
        <w:t>Bailyn</w:t>
      </w:r>
      <w:proofErr w:type="spellEnd"/>
      <w:r w:rsidR="007F2D64" w:rsidRPr="007F2D64">
        <w:t xml:space="preserve"> vividly recounts a series of surprise attacks in 1622 near the Jamestown settlement: </w:t>
      </w:r>
    </w:p>
    <w:p w14:paraId="0C2272FA" w14:textId="3E92BD97" w:rsidR="007F2D64" w:rsidRPr="007F2D64" w:rsidRDefault="007F2D64" w:rsidP="007C2E90">
      <w:pPr>
        <w:pStyle w:val="BlockText1"/>
      </w:pPr>
      <w:r w:rsidRPr="007F2D64">
        <w:t xml:space="preserve">In plantation after plantation </w:t>
      </w:r>
      <w:r w:rsidR="005D04B9">
        <w:t>…</w:t>
      </w:r>
      <w:r w:rsidRPr="007F2D64">
        <w:t xml:space="preserve">, the Indians turned on their unsuspecting hosts, in some places while sharing ‘breakfast with people at their tables,’ and with axes, hammers, shovels, tools, and knives slaughtered them indiscriminately, ‘not sparing </w:t>
      </w:r>
      <w:proofErr w:type="spellStart"/>
      <w:r w:rsidRPr="007F2D64">
        <w:t>eyther</w:t>
      </w:r>
      <w:proofErr w:type="spellEnd"/>
      <w:r w:rsidRPr="007F2D64">
        <w:t xml:space="preserve"> age or </w:t>
      </w:r>
      <w:proofErr w:type="spellStart"/>
      <w:r w:rsidRPr="007F2D64">
        <w:t>sexe</w:t>
      </w:r>
      <w:proofErr w:type="spellEnd"/>
      <w:r w:rsidRPr="007F2D64">
        <w:t xml:space="preserve">, man, woman, or </w:t>
      </w:r>
      <w:proofErr w:type="spellStart"/>
      <w:r w:rsidRPr="007F2D64">
        <w:t>childe</w:t>
      </w:r>
      <w:proofErr w:type="spellEnd"/>
      <w:r w:rsidRPr="007F2D64">
        <w:t xml:space="preserve">; so </w:t>
      </w:r>
      <w:proofErr w:type="spellStart"/>
      <w:r w:rsidRPr="007F2D64">
        <w:t>sodaine</w:t>
      </w:r>
      <w:proofErr w:type="spellEnd"/>
      <w:r w:rsidRPr="007F2D64">
        <w:t xml:space="preserve"> in their </w:t>
      </w:r>
      <w:proofErr w:type="spellStart"/>
      <w:r w:rsidRPr="007F2D64">
        <w:t>cruell</w:t>
      </w:r>
      <w:proofErr w:type="spellEnd"/>
      <w:r w:rsidRPr="007F2D64">
        <w:t xml:space="preserve"> execution that few or none discerned the weapon or blow that brought them to destruction.’ ”</w:t>
      </w:r>
      <w:r w:rsidRPr="007F2D64">
        <w:rPr>
          <w:vertAlign w:val="superscript"/>
        </w:rPr>
        <w:footnoteReference w:id="11"/>
      </w:r>
      <w:r w:rsidRPr="007F2D64">
        <w:t xml:space="preserve"> </w:t>
      </w:r>
    </w:p>
    <w:p w14:paraId="35E3FC24" w14:textId="77777777" w:rsidR="00E375F7" w:rsidRDefault="007F2D64" w:rsidP="007C2E90">
      <w:pPr>
        <w:ind w:firstLine="0"/>
      </w:pPr>
      <w:r>
        <w:t>C</w:t>
      </w:r>
      <w:r w:rsidRPr="007F2D64">
        <w:t>ontinued westward</w:t>
      </w:r>
      <w:r>
        <w:t xml:space="preserve"> expansion by the Colonists only exacerbated the tensions with</w:t>
      </w:r>
      <w:r w:rsidRPr="007F2D64">
        <w:t xml:space="preserve"> the Native Americans </w:t>
      </w:r>
      <w:r>
        <w:t>who were being slowly displaced</w:t>
      </w:r>
      <w:r w:rsidRPr="007F2D64">
        <w:t>.</w:t>
      </w:r>
      <w:r>
        <w:t xml:space="preserve"> And those tensions were further stoked</w:t>
      </w:r>
      <w:r w:rsidRPr="007F2D64">
        <w:t xml:space="preserve"> by </w:t>
      </w:r>
      <w:r>
        <w:t xml:space="preserve">the great </w:t>
      </w:r>
      <w:proofErr w:type="gramStart"/>
      <w:r>
        <w:t>Old World</w:t>
      </w:r>
      <w:proofErr w:type="gramEnd"/>
      <w:r>
        <w:t xml:space="preserve"> powers, who repeatedly sought to</w:t>
      </w:r>
      <w:r w:rsidRPr="007F2D64">
        <w:t xml:space="preserve"> enlist </w:t>
      </w:r>
      <w:r>
        <w:t xml:space="preserve">the help of native </w:t>
      </w:r>
      <w:r w:rsidRPr="007F2D64">
        <w:t xml:space="preserve">tribes </w:t>
      </w:r>
      <w:r w:rsidR="00B76D98">
        <w:t>in the contest to dominate the new American continent</w:t>
      </w:r>
      <w:r w:rsidRPr="007F2D64">
        <w:t>.</w:t>
      </w:r>
      <w:r w:rsidRPr="007F2D64">
        <w:rPr>
          <w:vertAlign w:val="superscript"/>
        </w:rPr>
        <w:footnoteReference w:id="12"/>
      </w:r>
      <w:r w:rsidRPr="007F2D64">
        <w:t xml:space="preserve">  </w:t>
      </w:r>
    </w:p>
    <w:p w14:paraId="3714CA69" w14:textId="18183416" w:rsidR="00624354" w:rsidRDefault="007F2D64" w:rsidP="00E375F7">
      <w:r>
        <w:t xml:space="preserve">By 1774, James Madison feared that the native peoples were “determined in the extirpation of the </w:t>
      </w:r>
      <w:r>
        <w:lastRenderedPageBreak/>
        <w:t>inhabitants.</w:t>
      </w:r>
      <w:r w:rsidR="00B76D98">
        <w:t>”</w:t>
      </w:r>
      <w:r w:rsidR="00B76D98">
        <w:rPr>
          <w:rStyle w:val="FootnoteReference"/>
        </w:rPr>
        <w:footnoteReference w:id="13"/>
      </w:r>
      <w:r w:rsidRPr="007F2D64">
        <w:t xml:space="preserve"> </w:t>
      </w:r>
      <w:r w:rsidRPr="007F2D64">
        <w:rPr>
          <w:lang w:val="en-CA"/>
        </w:rPr>
        <w:fldChar w:fldCharType="begin"/>
      </w:r>
      <w:r w:rsidRPr="007F2D64">
        <w:rPr>
          <w:lang w:val="en-CA"/>
        </w:rPr>
        <w:instrText xml:space="preserve"> SEQ CHAPTER \h \r 1</w:instrText>
      </w:r>
      <w:r w:rsidRPr="007F2D64">
        <w:fldChar w:fldCharType="end"/>
      </w:r>
      <w:r w:rsidR="00B76D98">
        <w:rPr>
          <w:lang w:val="en-CA"/>
        </w:rPr>
        <w:t xml:space="preserve">A year later, </w:t>
      </w:r>
      <w:r w:rsidRPr="007F2D64">
        <w:t>John Adams</w:t>
      </w:r>
      <w:r w:rsidR="00B76D98">
        <w:t xml:space="preserve"> </w:t>
      </w:r>
      <w:r w:rsidRPr="007F2D64">
        <w:t xml:space="preserve">described </w:t>
      </w:r>
      <w:r w:rsidR="00B76D98">
        <w:t xml:space="preserve">how the </w:t>
      </w:r>
      <w:r w:rsidRPr="007F2D64">
        <w:t>“hardy, robust</w:t>
      </w:r>
      <w:r w:rsidR="00B76D98">
        <w:t>” colonists had become</w:t>
      </w:r>
      <w:r w:rsidRPr="007F2D64">
        <w:t xml:space="preserve"> </w:t>
      </w:r>
      <w:r w:rsidR="00B76D98">
        <w:t>“</w:t>
      </w:r>
      <w:r w:rsidRPr="007F2D64">
        <w:t xml:space="preserve">habituated </w:t>
      </w:r>
      <w:r w:rsidR="005D04B9">
        <w:t>…</w:t>
      </w:r>
      <w:r w:rsidRPr="007F2D64">
        <w:t xml:space="preserve"> to carry their fuzees or rifles upon on</w:t>
      </w:r>
      <w:r w:rsidR="00B76D98">
        <w:t>e</w:t>
      </w:r>
      <w:r w:rsidRPr="007F2D64">
        <w:t xml:space="preserve"> shoulder to defend themselves against the Indians, while they </w:t>
      </w:r>
      <w:proofErr w:type="spellStart"/>
      <w:r w:rsidRPr="007F2D64">
        <w:t>carry’d</w:t>
      </w:r>
      <w:proofErr w:type="spellEnd"/>
      <w:r w:rsidRPr="007F2D64">
        <w:t xml:space="preserve"> their axes, scythes and hoes upon the other to till the ground.”</w:t>
      </w:r>
      <w:r w:rsidRPr="007F2D64">
        <w:rPr>
          <w:vertAlign w:val="superscript"/>
        </w:rPr>
        <w:footnoteReference w:id="14"/>
      </w:r>
      <w:r w:rsidR="007C2E90">
        <w:t xml:space="preserve"> </w:t>
      </w:r>
      <w:r w:rsidR="00E375F7">
        <w:t>So intense was the fear of dreadful attack by the native peoples that one of the “Abuses and Usurpations” charged of King George the III in the Declaration of Independence was that the Crown had “</w:t>
      </w:r>
      <w:proofErr w:type="spellStart"/>
      <w:r w:rsidR="00E375F7">
        <w:t>endeavoured</w:t>
      </w:r>
      <w:proofErr w:type="spellEnd"/>
      <w:r w:rsidR="00E375F7">
        <w:t xml:space="preserve"> to bring on the Inhabitants of our Frontiers, the merciless Indian Savages, whose known Rule of Warfare, is an undistinguished Destruction, of all Ages, Sexes and Conditions.”  </w:t>
      </w:r>
    </w:p>
    <w:p w14:paraId="1BC20546" w14:textId="771FFC3D" w:rsidR="001C5504" w:rsidRDefault="003102E7" w:rsidP="007C2E90">
      <w:r>
        <w:t xml:space="preserve">The Founding generation also found it necessary to carry firearms for self-defense against ordinary criminals. </w:t>
      </w:r>
      <w:r w:rsidR="007C2E90">
        <w:t>Modern organized police forces did not begin to appear until the 1830s; at the time of Founding, government-backed “policing was ineffective in cities and towns” and “almost nonexistent on the frontier.”</w:t>
      </w:r>
      <w:r w:rsidR="007C2E90">
        <w:rPr>
          <w:rStyle w:val="FootnoteReference"/>
        </w:rPr>
        <w:footnoteReference w:id="15"/>
      </w:r>
      <w:r w:rsidR="007C2E90">
        <w:t xml:space="preserve"> </w:t>
      </w:r>
      <w:r w:rsidR="00B01E9B">
        <w:t xml:space="preserve">And violent crime was rampant. </w:t>
      </w:r>
    </w:p>
    <w:p w14:paraId="45AF786F" w14:textId="3CDC2795" w:rsidR="007F2D64" w:rsidRDefault="001C5504" w:rsidP="00C903DA">
      <w:r>
        <w:t>For example, i</w:t>
      </w:r>
      <w:r w:rsidR="00B01E9B">
        <w:t xml:space="preserve">n the late eighteenth century the New Jersey coastal area known as the Pinelands “were infested with numerous robbers,” who “[a]t the </w:t>
      </w:r>
      <w:r w:rsidR="00B01E9B">
        <w:lastRenderedPageBreak/>
        <w:t xml:space="preserve">dead of night </w:t>
      </w:r>
      <w:r w:rsidR="005D04B9">
        <w:t>…</w:t>
      </w:r>
      <w:r w:rsidR="00B01E9B">
        <w:t xml:space="preserve"> would sally forth from their dens to plunder, burn, and murder.”</w:t>
      </w:r>
      <w:r w:rsidR="00B01E9B">
        <w:rPr>
          <w:rStyle w:val="FootnoteReference"/>
        </w:rPr>
        <w:footnoteReference w:id="16"/>
      </w:r>
      <w:r w:rsidR="00B01E9B">
        <w:t xml:space="preserve"> “The inhabitants, in constant terror, were obliged for safety to carry their muskets with them into the fields, and even to the house of worship.”</w:t>
      </w:r>
      <w:r w:rsidR="00B01E9B">
        <w:rPr>
          <w:rStyle w:val="FootnoteReference"/>
        </w:rPr>
        <w:footnoteReference w:id="17"/>
      </w:r>
      <w:r w:rsidR="00B01E9B">
        <w:t xml:space="preserve"> </w:t>
      </w:r>
      <w:r>
        <w:t xml:space="preserve">Elsewhere, “the brutal </w:t>
      </w:r>
      <w:proofErr w:type="spellStart"/>
      <w:r>
        <w:t>Harpe</w:t>
      </w:r>
      <w:proofErr w:type="spellEnd"/>
      <w:r>
        <w:t xml:space="preserve"> brothers </w:t>
      </w:r>
      <w:r w:rsidR="005D04B9">
        <w:t>…</w:t>
      </w:r>
      <w:r>
        <w:t xml:space="preserve"> in 1798-99 accounted for anywhere from about 20 to 38 victims in the frontier States of Kentucky and Tennessee.”</w:t>
      </w:r>
      <w:r>
        <w:rPr>
          <w:rStyle w:val="FootnoteReference"/>
        </w:rPr>
        <w:footnoteReference w:id="18"/>
      </w:r>
      <w:r>
        <w:t xml:space="preserve"> Early American urban areas were no more civilized: “Philadelphia’s homicide rate for 1720-1780 was two and a half times that of London in the same period.”</w:t>
      </w:r>
      <w:r>
        <w:rPr>
          <w:rStyle w:val="FootnoteReference"/>
        </w:rPr>
        <w:footnoteReference w:id="19"/>
      </w:r>
      <w:r>
        <w:t xml:space="preserve"> All told,</w:t>
      </w:r>
      <w:r w:rsidR="007C2E90" w:rsidRPr="007C2E90">
        <w:t xml:space="preserve"> a leading study of historical crime records </w:t>
      </w:r>
      <w:r>
        <w:t xml:space="preserve">concludes that </w:t>
      </w:r>
      <w:r w:rsidR="007C2E90" w:rsidRPr="007C2E90">
        <w:t>“[t]</w:t>
      </w:r>
      <w:proofErr w:type="spellStart"/>
      <w:r w:rsidR="007C2E90" w:rsidRPr="007C2E90">
        <w:t>hroughout</w:t>
      </w:r>
      <w:proofErr w:type="spellEnd"/>
      <w:r w:rsidR="007C2E90" w:rsidRPr="007C2E90">
        <w:t xml:space="preserve"> most of the seventeenth century,” the “peacetime murder rates for adult colonists </w:t>
      </w:r>
      <w:r w:rsidR="005D04B9">
        <w:t>…</w:t>
      </w:r>
      <w:r w:rsidR="007C2E90" w:rsidRPr="007C2E90">
        <w:t xml:space="preserve"> ranged from 100 to 500 or more per year per 100,000 adults, </w:t>
      </w:r>
      <w:r w:rsidR="007C2E90" w:rsidRPr="00C24CEE">
        <w:rPr>
          <w:b/>
          <w:bCs/>
        </w:rPr>
        <w:t>ten to fifty times</w:t>
      </w:r>
      <w:r w:rsidR="007C2E90" w:rsidRPr="007C2E90">
        <w:t xml:space="preserve"> the rate in the United States today.”</w:t>
      </w:r>
      <w:r w:rsidR="007C2E90" w:rsidRPr="007C2E90">
        <w:rPr>
          <w:vertAlign w:val="superscript"/>
        </w:rPr>
        <w:footnoteReference w:id="20"/>
      </w:r>
      <w:r w:rsidR="007C2E90" w:rsidRPr="007C2E90">
        <w:t xml:space="preserve"> </w:t>
      </w:r>
    </w:p>
    <w:p w14:paraId="592B996C" w14:textId="384BDA47" w:rsidR="003C1DA2" w:rsidRPr="003C1DA2" w:rsidRDefault="00E249F1" w:rsidP="00C903DA">
      <w:r>
        <w:t>Because of these violent conditions, over half the colonies enforced</w:t>
      </w:r>
      <w:r w:rsidR="00D049E8">
        <w:t xml:space="preserve"> arms-bearing </w:t>
      </w:r>
      <w:r w:rsidR="00D049E8">
        <w:rPr>
          <w:i/>
          <w:iCs/>
        </w:rPr>
        <w:t xml:space="preserve">requirements </w:t>
      </w:r>
      <w:r w:rsidR="003C1DA2">
        <w:t xml:space="preserve">that obliged people to carry arms in certain circumstances such as </w:t>
      </w:r>
      <w:r w:rsidR="003C1DA2" w:rsidRPr="000A14C0">
        <w:t>when traveling or attending church</w:t>
      </w:r>
      <w:r w:rsidR="00D049E8">
        <w:t>.</w:t>
      </w:r>
      <w:r w:rsidR="003C1DA2">
        <w:t xml:space="preserve"> </w:t>
      </w:r>
      <w:r w:rsidR="003C1DA2">
        <w:rPr>
          <w:i/>
          <w:iCs/>
        </w:rPr>
        <w:t xml:space="preserve">See </w:t>
      </w:r>
      <w:r w:rsidR="003C1DA2" w:rsidRPr="00D665D1">
        <w:rPr>
          <w:smallCaps/>
        </w:rPr>
        <w:lastRenderedPageBreak/>
        <w:t>Halbrook</w:t>
      </w:r>
      <w:r w:rsidR="003C1DA2">
        <w:t xml:space="preserve">, </w:t>
      </w:r>
      <w:r w:rsidR="003C1DA2">
        <w:rPr>
          <w:i/>
          <w:iCs/>
        </w:rPr>
        <w:t>supra</w:t>
      </w:r>
      <w:r w:rsidR="003C1DA2">
        <w:t>, at 133</w:t>
      </w:r>
      <w:r w:rsidR="00E82E0B">
        <w:t>-</w:t>
      </w:r>
      <w:r w:rsidR="003C1DA2">
        <w:t>35.</w:t>
      </w:r>
      <w:r w:rsidR="004317F1">
        <w:rPr>
          <w:rStyle w:val="FootnoteReference"/>
        </w:rPr>
        <w:footnoteReference w:id="21"/>
      </w:r>
      <w:r w:rsidR="003C1DA2">
        <w:t xml:space="preserve"> It would have been incongruous indeed for Colonies such as Virginia (which enacted such a requirement as early as 1619)</w:t>
      </w:r>
      <w:r w:rsidR="00E522F4">
        <w:t xml:space="preserve"> and</w:t>
      </w:r>
      <w:r w:rsidR="003C1DA2">
        <w:t xml:space="preserve"> Massachusetts (1636) to (1) enforce a Northampton-type statute they purportedly understood as “</w:t>
      </w:r>
      <w:r w:rsidR="003C1DA2" w:rsidRPr="002D027F">
        <w:t>a broad prohibition on the public carrying of arms</w:t>
      </w:r>
      <w:r w:rsidR="003C1DA2">
        <w:t xml:space="preserve">,” </w:t>
      </w:r>
      <w:r w:rsidR="003C1DA2" w:rsidRPr="002D027F">
        <w:t>Charles, </w:t>
      </w:r>
      <w:r w:rsidR="003C1DA2" w:rsidRPr="002D027F">
        <w:rPr>
          <w:i/>
          <w:iCs/>
        </w:rPr>
        <w:t>Faces of the Second Amendment</w:t>
      </w:r>
      <w:r w:rsidR="003C1DA2">
        <w:t>,</w:t>
      </w:r>
      <w:r w:rsidR="003C1DA2" w:rsidRPr="002D027F">
        <w:rPr>
          <w:i/>
          <w:iCs/>
        </w:rPr>
        <w:t xml:space="preserve"> </w:t>
      </w:r>
      <w:r w:rsidR="003C1DA2">
        <w:rPr>
          <w:i/>
          <w:iCs/>
        </w:rPr>
        <w:t>supra</w:t>
      </w:r>
      <w:r w:rsidR="003C1DA2" w:rsidRPr="002D027F">
        <w:t xml:space="preserve">, </w:t>
      </w:r>
      <w:r w:rsidR="003C1DA2">
        <w:t>at</w:t>
      </w:r>
      <w:r w:rsidR="003C1DA2" w:rsidRPr="002D027F">
        <w:t xml:space="preserve"> 8</w:t>
      </w:r>
      <w:r w:rsidR="003C1DA2">
        <w:t xml:space="preserve">, and simultaneously (2) </w:t>
      </w:r>
      <w:r w:rsidR="003C1DA2">
        <w:rPr>
          <w:i/>
          <w:iCs/>
        </w:rPr>
        <w:t xml:space="preserve">require </w:t>
      </w:r>
      <w:r w:rsidR="003C1DA2">
        <w:t xml:space="preserve">travelers and churchgoers to carry arms for self-defense. </w:t>
      </w:r>
    </w:p>
    <w:p w14:paraId="0FFCE422" w14:textId="3773CF8A" w:rsidR="003C1DA2" w:rsidRPr="00D665D1" w:rsidRDefault="003C1DA2" w:rsidP="00910155">
      <w:r>
        <w:t xml:space="preserve">A similar point follows from Virginia’s </w:t>
      </w:r>
      <w:r w:rsidR="006B14CD">
        <w:t xml:space="preserve">1677 statute—enacted in response to Bacon’s Rebellion—temporarily forbidding the colonists “to assemble together in </w:t>
      </w:r>
      <w:proofErr w:type="spellStart"/>
      <w:r w:rsidR="006B14CD">
        <w:t>arm</w:t>
      </w:r>
      <w:r w:rsidR="00FB1AF0">
        <w:t>e</w:t>
      </w:r>
      <w:r w:rsidR="006B14CD">
        <w:t>s</w:t>
      </w:r>
      <w:proofErr w:type="spellEnd"/>
      <w:r w:rsidR="006B14CD">
        <w:t xml:space="preserve"> to the number of five or upwards.”</w:t>
      </w:r>
      <w:r w:rsidR="0038773B">
        <w:rPr>
          <w:rStyle w:val="FootnoteReference"/>
        </w:rPr>
        <w:footnoteReference w:id="22"/>
      </w:r>
      <w:r w:rsidR="006B14CD">
        <w:t xml:space="preserve"> </w:t>
      </w:r>
      <w:r w:rsidR="00D665D1">
        <w:t xml:space="preserve">It plainly follows that </w:t>
      </w:r>
      <w:r w:rsidR="00D665D1">
        <w:rPr>
          <w:i/>
          <w:iCs/>
        </w:rPr>
        <w:t xml:space="preserve">but for </w:t>
      </w:r>
      <w:r w:rsidR="00D665D1">
        <w:t>this prohibition, Virginia</w:t>
      </w:r>
      <w:r w:rsidR="007931C9">
        <w:t>ns</w:t>
      </w:r>
      <w:r w:rsidR="00D665D1">
        <w:t xml:space="preserve"> were free to carry arms in public. Indeed, when </w:t>
      </w:r>
      <w:r w:rsidR="00F46450">
        <w:t xml:space="preserve">the restraint was lifted after </w:t>
      </w:r>
      <w:r w:rsidR="00D665D1">
        <w:t xml:space="preserve">residents of James County complained to the Crown’s officials the </w:t>
      </w:r>
      <w:r w:rsidR="00F46450">
        <w:t xml:space="preserve">officials explained </w:t>
      </w:r>
      <w:r w:rsidR="00D665D1">
        <w:t xml:space="preserve">that “[n]ow every man may bear arms.” </w:t>
      </w:r>
      <w:r w:rsidR="00D665D1" w:rsidRPr="00D665D1">
        <w:rPr>
          <w:smallCaps/>
        </w:rPr>
        <w:t>Halbrook</w:t>
      </w:r>
      <w:r w:rsidR="00D665D1">
        <w:t xml:space="preserve">, </w:t>
      </w:r>
      <w:r w:rsidR="00D665D1" w:rsidRPr="00D665D1">
        <w:rPr>
          <w:i/>
          <w:iCs/>
        </w:rPr>
        <w:t>supra</w:t>
      </w:r>
      <w:r w:rsidR="00D665D1">
        <w:t>, at</w:t>
      </w:r>
      <w:r w:rsidR="000C15E1">
        <w:t xml:space="preserve"> </w:t>
      </w:r>
      <w:r w:rsidR="00D665D1" w:rsidRPr="00D665D1">
        <w:t>126</w:t>
      </w:r>
      <w:r w:rsidR="00E82E0B">
        <w:t>-</w:t>
      </w:r>
      <w:r w:rsidR="00D665D1">
        <w:t>27.</w:t>
      </w:r>
    </w:p>
    <w:p w14:paraId="356E54B6" w14:textId="0FF26144" w:rsidR="00D665D1" w:rsidRDefault="00D665D1" w:rsidP="00910155">
      <w:r w:rsidRPr="00CC4BC2">
        <w:t xml:space="preserve">Finally, the racist laws many Colonies (and </w:t>
      </w:r>
      <w:r w:rsidR="00AE7997">
        <w:t>later</w:t>
      </w:r>
      <w:r w:rsidRPr="00CC4BC2">
        <w:t xml:space="preserve"> States) enacted specifically forbidding enslaved or free African Americans from carrying firearms in </w:t>
      </w:r>
      <w:r w:rsidRPr="00CC4BC2">
        <w:lastRenderedPageBreak/>
        <w:t>public removes any conceivable doubt that free whites enjoyed the right</w:t>
      </w:r>
      <w:r w:rsidR="00A55E1C">
        <w:t xml:space="preserve"> </w:t>
      </w:r>
      <w:r w:rsidRPr="00CC4BC2">
        <w:t xml:space="preserve">to carry arms. </w:t>
      </w:r>
      <w:r w:rsidR="001B419C" w:rsidRPr="00CC4BC2">
        <w:t>A 1715 Maryland statute, for example, provided that “</w:t>
      </w:r>
      <w:bookmarkStart w:id="14" w:name="_Hlk62629917"/>
      <w:r w:rsidR="001B419C" w:rsidRPr="00CC4BC2">
        <w:t xml:space="preserve">no negro or other slave within this province shall be permitted to carry any gun, or any other offensive weapon, from off their master’s land, without </w:t>
      </w:r>
      <w:proofErr w:type="spellStart"/>
      <w:r w:rsidR="001B419C" w:rsidRPr="00CC4BC2">
        <w:t>licence</w:t>
      </w:r>
      <w:proofErr w:type="spellEnd"/>
      <w:r w:rsidR="001B419C" w:rsidRPr="00CC4BC2">
        <w:t xml:space="preserve"> from their said master</w:t>
      </w:r>
      <w:bookmarkEnd w:id="14"/>
      <w:r w:rsidR="001B419C" w:rsidRPr="00CC4BC2">
        <w:t>.”</w:t>
      </w:r>
      <w:r w:rsidR="0038773B">
        <w:rPr>
          <w:rStyle w:val="FootnoteReference"/>
        </w:rPr>
        <w:footnoteReference w:id="23"/>
      </w:r>
      <w:r w:rsidR="001B419C" w:rsidRPr="00CC4BC2">
        <w:t xml:space="preserve"> Like prohibitions were enacted in Virginia (1680), South Carolina (1740),</w:t>
      </w:r>
      <w:r w:rsidR="006F13B3" w:rsidRPr="00CC4BC2">
        <w:t xml:space="preserve"> North Carolina (1741),</w:t>
      </w:r>
      <w:r w:rsidR="001B419C" w:rsidRPr="00CC4BC2">
        <w:t xml:space="preserve"> Georgia (1768), and Delaware (1797).</w:t>
      </w:r>
      <w:r w:rsidR="0038773B">
        <w:rPr>
          <w:rStyle w:val="FootnoteReference"/>
        </w:rPr>
        <w:footnoteReference w:id="24"/>
      </w:r>
      <w:r w:rsidR="002C1855" w:rsidRPr="00CC4BC2">
        <w:t xml:space="preserve"> These laws would have been completely </w:t>
      </w:r>
      <w:r w:rsidR="001A584B">
        <w:t xml:space="preserve">inexplicable </w:t>
      </w:r>
      <w:r w:rsidR="002C1855" w:rsidRPr="00CC4BC2">
        <w:t>had Northampton</w:t>
      </w:r>
      <w:r w:rsidR="00EB5397">
        <w:t>’s prohibition</w:t>
      </w:r>
      <w:r w:rsidR="002C1855" w:rsidRPr="00CC4BC2">
        <w:t xml:space="preserve"> been understood to prohibit </w:t>
      </w:r>
      <w:r w:rsidR="002C1855" w:rsidRPr="00CC4BC2">
        <w:rPr>
          <w:i/>
          <w:iCs/>
        </w:rPr>
        <w:t xml:space="preserve">anyone </w:t>
      </w:r>
      <w:r w:rsidR="002C1855" w:rsidRPr="00CC4BC2">
        <w:t>from carrying arms.</w:t>
      </w:r>
    </w:p>
    <w:p w14:paraId="14F128D3" w14:textId="391A9048" w:rsidR="00910155" w:rsidRDefault="00910155" w:rsidP="000F29E9">
      <w:pPr>
        <w:pStyle w:val="Heading2"/>
        <w:keepNext/>
        <w:keepLines/>
        <w:ind w:left="547" w:hanging="547"/>
      </w:pPr>
      <w:r>
        <w:t xml:space="preserve">The </w:t>
      </w:r>
      <w:r w:rsidRPr="008C4D4C">
        <w:t>tradition</w:t>
      </w:r>
      <w:r>
        <w:t xml:space="preserve"> of freely allowing public carriage of firearms continued into the nineteenth century.</w:t>
      </w:r>
    </w:p>
    <w:p w14:paraId="1222C4DA" w14:textId="38B5B1AC" w:rsidR="00666738" w:rsidRPr="00885E0F" w:rsidRDefault="00A34D03" w:rsidP="00910155">
      <w:r>
        <w:t>The e</w:t>
      </w:r>
      <w:r w:rsidR="0061398B">
        <w:t xml:space="preserve">vidence from the years immediately after ratification </w:t>
      </w:r>
      <w:r w:rsidR="00226F3F">
        <w:t>provides</w:t>
      </w:r>
      <w:r w:rsidR="00885E0F">
        <w:t xml:space="preserve"> “confirmation” of what earlier sources </w:t>
      </w:r>
      <w:r w:rsidR="002E648C">
        <w:t xml:space="preserve">establish concerning </w:t>
      </w:r>
      <w:r w:rsidR="00885E0F">
        <w:t xml:space="preserve">“the </w:t>
      </w:r>
      <w:r w:rsidR="00885E0F" w:rsidRPr="00885E0F">
        <w:t>public understanding in 1791 of the right codified by the Second Amendment</w:t>
      </w:r>
      <w:r w:rsidR="002E648C">
        <w:t xml:space="preserve">.” </w:t>
      </w:r>
      <w:r w:rsidR="002E648C" w:rsidRPr="002E648C">
        <w:rPr>
          <w:i/>
          <w:iCs/>
        </w:rPr>
        <w:t>Gamble v. United States</w:t>
      </w:r>
      <w:r w:rsidR="002E648C" w:rsidRPr="002E648C">
        <w:t xml:space="preserve">, </w:t>
      </w:r>
      <w:r w:rsidR="00703E05">
        <w:t xml:space="preserve">587 U.S. ___, </w:t>
      </w:r>
      <w:r w:rsidR="002E648C" w:rsidRPr="002E648C">
        <w:t>139 S. Ct. 1960, 1976</w:t>
      </w:r>
      <w:r w:rsidR="00E82E0B">
        <w:t>-</w:t>
      </w:r>
      <w:r w:rsidR="002E648C">
        <w:t>77</w:t>
      </w:r>
      <w:r w:rsidR="002E648C" w:rsidRPr="002E648C">
        <w:t xml:space="preserve"> (2019)</w:t>
      </w:r>
      <w:r w:rsidR="002E648C">
        <w:t>.</w:t>
      </w:r>
      <w:r w:rsidR="00666738">
        <w:t xml:space="preserve"> From the early nineteenth century through the Civil War, Americans continued to freely enjoy the right to </w:t>
      </w:r>
      <w:r w:rsidR="00E62CA3">
        <w:t>peaceably</w:t>
      </w:r>
      <w:r w:rsidR="00666738">
        <w:t xml:space="preserve"> carry arms outside the home.</w:t>
      </w:r>
      <w:r w:rsidR="00C14B5E">
        <w:t xml:space="preserve"> Again: the carrying of arms by law-abiding citizens was freely allowed in every State</w:t>
      </w:r>
      <w:r w:rsidR="007B0491">
        <w:t>.</w:t>
      </w:r>
      <w:r w:rsidR="00666738">
        <w:t xml:space="preserve"> </w:t>
      </w:r>
      <w:r w:rsidR="00E62CA3">
        <w:t>Through 1861,</w:t>
      </w:r>
      <w:r w:rsidR="00305347">
        <w:t xml:space="preserve"> </w:t>
      </w:r>
      <w:r w:rsidR="009010CB">
        <w:t>1</w:t>
      </w:r>
      <w:r w:rsidR="00037066">
        <w:t>4</w:t>
      </w:r>
      <w:r w:rsidR="00305347">
        <w:t xml:space="preserve"> of</w:t>
      </w:r>
      <w:r w:rsidR="00E62CA3">
        <w:t xml:space="preserve"> the 34 States admitted </w:t>
      </w:r>
      <w:r w:rsidR="00305347">
        <w:t xml:space="preserve">at the outbreak of the War </w:t>
      </w:r>
      <w:r w:rsidR="00EB5397">
        <w:t xml:space="preserve">do not appear to have enforced any </w:t>
      </w:r>
      <w:r w:rsidR="00EB5397">
        <w:lastRenderedPageBreak/>
        <w:t>statutes regulating</w:t>
      </w:r>
      <w:r w:rsidR="00305347">
        <w:t xml:space="preserve"> the carrying of firearms. </w:t>
      </w:r>
      <w:r w:rsidR="00426B52">
        <w:t>And the two new types of regulations that began to emerge</w:t>
      </w:r>
      <w:r w:rsidR="00AB3751">
        <w:t xml:space="preserve"> deca</w:t>
      </w:r>
      <w:r w:rsidR="00E055CD">
        <w:t xml:space="preserve">des after the </w:t>
      </w:r>
      <w:r w:rsidR="009A4DD4">
        <w:t>F</w:t>
      </w:r>
      <w:r w:rsidR="00E055CD">
        <w:t>ounding</w:t>
      </w:r>
      <w:r w:rsidR="00426B52">
        <w:t xml:space="preserve"> in several of the remaining </w:t>
      </w:r>
      <w:r w:rsidR="00037066">
        <w:t>20</w:t>
      </w:r>
      <w:r w:rsidR="00426B52">
        <w:t xml:space="preserve"> States</w:t>
      </w:r>
      <w:proofErr w:type="gramStart"/>
      <w:r w:rsidR="00426B52">
        <w:t>—“</w:t>
      </w:r>
      <w:proofErr w:type="gramEnd"/>
      <w:r w:rsidR="00426B52">
        <w:t>surety-style” laws and restrictions on concealed carry—did not meaningfully limit public carriage.</w:t>
      </w:r>
      <w:r w:rsidR="00305347">
        <w:t xml:space="preserve"> </w:t>
      </w:r>
    </w:p>
    <w:p w14:paraId="7D57BA84" w14:textId="68EBB95D" w:rsidR="00387BC8" w:rsidRDefault="00387BC8" w:rsidP="00910155">
      <w:r>
        <w:t xml:space="preserve">A.  </w:t>
      </w:r>
      <w:r w:rsidR="004E7C2E">
        <w:t>In 1836, Massachusetts adopted a statute allowing “</w:t>
      </w:r>
      <w:r w:rsidR="00752069" w:rsidRPr="00FD4622">
        <w:t>any person having reasonable cause to fear</w:t>
      </w:r>
      <w:r w:rsidR="00752069">
        <w:t>” that someone carrying arms in public might cause</w:t>
      </w:r>
      <w:r w:rsidR="00752069" w:rsidRPr="00FD4622">
        <w:t xml:space="preserve"> </w:t>
      </w:r>
      <w:r w:rsidR="00752069">
        <w:t>“</w:t>
      </w:r>
      <w:r w:rsidR="00752069" w:rsidRPr="00FD4622">
        <w:t>an injury, or breach of the p</w:t>
      </w:r>
      <w:r w:rsidR="00752069">
        <w:t>eace</w:t>
      </w:r>
      <w:r w:rsidR="00752069" w:rsidRPr="00FD4622">
        <w:t>”</w:t>
      </w:r>
      <w:r w:rsidR="004E7C2E">
        <w:t xml:space="preserve"> </w:t>
      </w:r>
      <w:r w:rsidR="00752069">
        <w:t>to make a complaint to a local judge, who then had discretion to require the arms-bearer “to find sureties for keeping the peace” if he wanted to continue to “go armed”—unless he could show that he himself had “reasonable cause to fear an assault or other injury, or violence to his person, or to his family or property,” in which case he could continue to carry arms without posting the surety.</w:t>
      </w:r>
      <w:r w:rsidR="00414F5D">
        <w:rPr>
          <w:rStyle w:val="FootnoteReference"/>
        </w:rPr>
        <w:footnoteReference w:id="25"/>
      </w:r>
      <w:r w:rsidR="00752069">
        <w:t xml:space="preserve"> Between 1836 and the beginning of the Civil War, </w:t>
      </w:r>
      <w:r w:rsidR="002A7820">
        <w:t>seven</w:t>
      </w:r>
      <w:r w:rsidR="00C5640B">
        <w:t xml:space="preserve"> additional States (or territories granted Statehood shortly thereafter) adopted similar “surety-style” laws.</w:t>
      </w:r>
      <w:r w:rsidR="00C5640B">
        <w:rPr>
          <w:rStyle w:val="FootnoteReference"/>
        </w:rPr>
        <w:footnoteReference w:id="26"/>
      </w:r>
      <w:r w:rsidR="00752069">
        <w:t xml:space="preserve"> </w:t>
      </w:r>
    </w:p>
    <w:p w14:paraId="28B3C3A2" w14:textId="27A0B533" w:rsidR="006A5845" w:rsidRPr="006A5845" w:rsidRDefault="00D62BA9" w:rsidP="00D62BA9">
      <w:r>
        <w:t xml:space="preserve">These surety laws have been characterized as </w:t>
      </w:r>
      <w:r w:rsidR="00E27588">
        <w:t>“</w:t>
      </w:r>
      <w:r w:rsidR="00E27588" w:rsidRPr="00E27588">
        <w:t>a severe constraint</w:t>
      </w:r>
      <w:r w:rsidR="00E27588">
        <w:t>” that limited</w:t>
      </w:r>
      <w:r>
        <w:t xml:space="preserve"> public carry “</w:t>
      </w:r>
      <w:r w:rsidRPr="00D62BA9">
        <w:t>to persons who could demonstrate their need to carry</w:t>
      </w:r>
      <w:r>
        <w:t xml:space="preserve">.” </w:t>
      </w:r>
      <w:r w:rsidRPr="00D62BA9">
        <w:rPr>
          <w:i/>
          <w:iCs/>
        </w:rPr>
        <w:lastRenderedPageBreak/>
        <w:t>Young</w:t>
      </w:r>
      <w:r w:rsidR="00783EB1">
        <w:rPr>
          <w:i/>
          <w:iCs/>
        </w:rPr>
        <w:t xml:space="preserve"> v. Hawaii</w:t>
      </w:r>
      <w:r w:rsidRPr="00D62BA9">
        <w:t xml:space="preserve">, 992 F.3d </w:t>
      </w:r>
      <w:r w:rsidR="00783EB1">
        <w:t>765,</w:t>
      </w:r>
      <w:r w:rsidR="00783EB1" w:rsidRPr="00D62BA9">
        <w:t xml:space="preserve"> </w:t>
      </w:r>
      <w:r w:rsidRPr="00D62BA9">
        <w:t>799</w:t>
      </w:r>
      <w:r w:rsidR="00E27588">
        <w:t>, 820</w:t>
      </w:r>
      <w:r w:rsidR="0038133D">
        <w:t xml:space="preserve"> (9th Cir. 2021) (</w:t>
      </w:r>
      <w:proofErr w:type="spellStart"/>
      <w:r w:rsidR="0038133D">
        <w:t>en</w:t>
      </w:r>
      <w:proofErr w:type="spellEnd"/>
      <w:r w:rsidR="0038133D">
        <w:t xml:space="preserve"> banc)</w:t>
      </w:r>
      <w:r>
        <w:t xml:space="preserve">. The bare text of these statutes refutes that description. </w:t>
      </w:r>
      <w:r w:rsidR="001A6734">
        <w:t>T</w:t>
      </w:r>
      <w:r w:rsidR="006A5845" w:rsidRPr="00921081">
        <w:t>hese laws were triggered only when some</w:t>
      </w:r>
      <w:r w:rsidR="00493B44">
        <w:t>one</w:t>
      </w:r>
      <w:r w:rsidR="006A5845" w:rsidRPr="00921081">
        <w:t xml:space="preserve"> who reasonably felt threatened lodged a complaint</w:t>
      </w:r>
      <w:r w:rsidR="006A5845">
        <w:t>—and a judge agreed the fear was reasonable</w:t>
      </w:r>
      <w:r w:rsidR="006A5845" w:rsidRPr="00921081">
        <w:t>.</w:t>
      </w:r>
      <w:r w:rsidR="006640EA">
        <w:rPr>
          <w:rStyle w:val="FootnoteReference"/>
        </w:rPr>
        <w:footnoteReference w:id="27"/>
      </w:r>
      <w:r w:rsidR="006A5845" w:rsidRPr="00921081">
        <w:t xml:space="preserve"> </w:t>
      </w:r>
      <w:r w:rsidR="006A5845" w:rsidRPr="00820EC1">
        <w:t xml:space="preserve">The party complained of had a right to “be heard in his defense” </w:t>
      </w:r>
      <w:r w:rsidR="006A5845" w:rsidRPr="00820EC1">
        <w:rPr>
          <w:i/>
          <w:iCs/>
        </w:rPr>
        <w:t>before</w:t>
      </w:r>
      <w:r w:rsidR="006A5845" w:rsidRPr="00820EC1">
        <w:t xml:space="preserve"> any judicial decision was made, and he also had a right of appeal</w:t>
      </w:r>
      <w:r w:rsidR="006640EA">
        <w:t>.</w:t>
      </w:r>
      <w:r w:rsidR="006640EA">
        <w:rPr>
          <w:rStyle w:val="FootnoteReference"/>
        </w:rPr>
        <w:footnoteReference w:id="28"/>
      </w:r>
      <w:r w:rsidR="006A5845">
        <w:t xml:space="preserve"> </w:t>
      </w:r>
    </w:p>
    <w:p w14:paraId="7D5CE765" w14:textId="19FCA31D" w:rsidR="00D62BA9" w:rsidRPr="00D62BA9" w:rsidRDefault="006A5845" w:rsidP="00D62BA9">
      <w:r w:rsidRPr="00921081">
        <w:t xml:space="preserve">Moreover, </w:t>
      </w:r>
      <w:r w:rsidR="00493B44">
        <w:t>he</w:t>
      </w:r>
      <w:r w:rsidRPr="00921081">
        <w:t xml:space="preserve"> could nonetheless </w:t>
      </w:r>
      <w:r w:rsidRPr="00742FBC">
        <w:rPr>
          <w:i/>
          <w:iCs/>
        </w:rPr>
        <w:t>continue to carry</w:t>
      </w:r>
      <w:r w:rsidRPr="00921081">
        <w:t>, so long as he posted a surety</w:t>
      </w:r>
      <w:r w:rsidR="00742FBC">
        <w:t>, or bond</w:t>
      </w:r>
      <w:r w:rsidRPr="00921081">
        <w:t>.</w:t>
      </w:r>
      <w:r w:rsidR="006640EA">
        <w:rPr>
          <w:rStyle w:val="FootnoteReference"/>
        </w:rPr>
        <w:footnoteReference w:id="29"/>
      </w:r>
      <w:r w:rsidRPr="00921081">
        <w:t xml:space="preserve"> </w:t>
      </w:r>
      <w:r w:rsidR="003269DB">
        <w:rPr>
          <w:iCs/>
        </w:rPr>
        <w:t>A</w:t>
      </w:r>
      <w:r w:rsidR="008C4D4C">
        <w:rPr>
          <w:iCs/>
        </w:rPr>
        <w:t xml:space="preserve">s Blackstone explained, </w:t>
      </w:r>
      <w:r w:rsidR="008C4D4C">
        <w:t xml:space="preserve">a surety was “intended merely for prevention” in circumstances where there was “a probable suspicion, that some crime is intended or likely to happen; and consequently </w:t>
      </w:r>
      <w:r w:rsidR="008C4D4C">
        <w:rPr>
          <w:i/>
        </w:rPr>
        <w:t>it is not meant as any degree of punishment</w:t>
      </w:r>
      <w:r w:rsidR="008C4D4C">
        <w:t xml:space="preserve">, unless perhaps for a man’s imprudence in giving just ground of apprehension.” </w:t>
      </w:r>
      <w:r w:rsidR="008C4D4C" w:rsidRPr="00FC0A49">
        <w:t xml:space="preserve">4 </w:t>
      </w:r>
      <w:r w:rsidR="008C4D4C" w:rsidRPr="00FC0A49">
        <w:rPr>
          <w:smallCaps/>
        </w:rPr>
        <w:t>Blackstone Commentaries</w:t>
      </w:r>
      <w:r w:rsidR="008C4D4C" w:rsidRPr="00FC0A49">
        <w:t xml:space="preserve"> *249 (emphasis added</w:t>
      </w:r>
      <w:r w:rsidR="008C4D4C">
        <w:t>).</w:t>
      </w:r>
      <w:r w:rsidR="00C13087">
        <w:t xml:space="preserve"> </w:t>
      </w:r>
      <w:r w:rsidR="00742FBC">
        <w:rPr>
          <w:iCs/>
        </w:rPr>
        <w:t>Finally, t</w:t>
      </w:r>
      <w:r>
        <w:t>hese laws were</w:t>
      </w:r>
      <w:r w:rsidRPr="00921081">
        <w:t xml:space="preserve"> also accompanied by a safe-harbor provision for anyone carrying a firearm because of “reasonable cause to fear an assault or other injury” to </w:t>
      </w:r>
      <w:r>
        <w:t>one’s person</w:t>
      </w:r>
      <w:r w:rsidRPr="00921081">
        <w:t>, family, or property.</w:t>
      </w:r>
      <w:r w:rsidR="00DC5536">
        <w:rPr>
          <w:rStyle w:val="FootnoteReference"/>
        </w:rPr>
        <w:footnoteReference w:id="30"/>
      </w:r>
      <w:r>
        <w:t xml:space="preserve"> </w:t>
      </w:r>
    </w:p>
    <w:p w14:paraId="608AC403" w14:textId="3D8BBABB" w:rsidR="00AB6AF2" w:rsidRPr="00AB6AF2" w:rsidRDefault="00BE6341" w:rsidP="00AB6AF2">
      <w:r>
        <w:t>T</w:t>
      </w:r>
      <w:r w:rsidR="00AB6AF2">
        <w:t>he enactment of surety-style laws confirms that Northampton-type laws</w:t>
      </w:r>
      <w:r w:rsidR="00F46450">
        <w:t xml:space="preserve"> were not understood as bans on carriage</w:t>
      </w:r>
      <w:r w:rsidR="00AB6AF2">
        <w:t>. Virginia, Massachusetts,</w:t>
      </w:r>
      <w:r w:rsidR="00986CC3">
        <w:t xml:space="preserve"> and</w:t>
      </w:r>
      <w:r w:rsidR="00AB6AF2">
        <w:t xml:space="preserve"> </w:t>
      </w:r>
      <w:r w:rsidR="00986CC3">
        <w:t>Maine all (1) enacted a Northampton-analogue and then subse</w:t>
      </w:r>
      <w:r w:rsidR="00EB5397">
        <w:softHyphen/>
      </w:r>
      <w:r w:rsidR="00986CC3">
        <w:lastRenderedPageBreak/>
        <w:t>quently</w:t>
      </w:r>
      <w:r w:rsidR="00EB5397">
        <w:t xml:space="preserve"> </w:t>
      </w:r>
      <w:r w:rsidR="00986CC3">
        <w:t>(2) enacted a surety-style law.</w:t>
      </w:r>
      <w:r w:rsidR="00986CC3">
        <w:rPr>
          <w:rStyle w:val="FootnoteReference"/>
        </w:rPr>
        <w:footnoteReference w:id="31"/>
      </w:r>
      <w:r w:rsidR="00986CC3">
        <w:t xml:space="preserve"> Not only would surety laws have been superfluous in those </w:t>
      </w:r>
      <w:r w:rsidR="00493B44">
        <w:t>S</w:t>
      </w:r>
      <w:r w:rsidR="00986CC3">
        <w:t>tates, if the broad, revisionist interpretation of Northampton were correct, but the effect of their adoption would have been inexplicable and bizarre. For if Northampton-type laws really did broad</w:t>
      </w:r>
      <w:r w:rsidR="00F46450">
        <w:t>ly</w:t>
      </w:r>
      <w:r w:rsidR="00986CC3">
        <w:t xml:space="preserve"> ban</w:t>
      </w:r>
      <w:r w:rsidR="00F46450">
        <w:t xml:space="preserve"> carrying arms</w:t>
      </w:r>
      <w:r w:rsidR="00986CC3">
        <w:t xml:space="preserve">, the enactment of a surety-style law would have </w:t>
      </w:r>
      <w:r w:rsidR="00CE72CF">
        <w:t xml:space="preserve">had </w:t>
      </w:r>
      <w:r w:rsidR="00986CC3">
        <w:t xml:space="preserve">the effect of </w:t>
      </w:r>
      <w:r w:rsidR="00986CC3">
        <w:rPr>
          <w:i/>
          <w:iCs/>
        </w:rPr>
        <w:t xml:space="preserve">allowing </w:t>
      </w:r>
      <w:r w:rsidR="00986CC3">
        <w:t xml:space="preserve">public carry—but </w:t>
      </w:r>
      <w:r w:rsidR="00986CC3">
        <w:rPr>
          <w:i/>
          <w:iCs/>
        </w:rPr>
        <w:t xml:space="preserve">only </w:t>
      </w:r>
      <w:r w:rsidR="00986CC3">
        <w:t xml:space="preserve">by someone </w:t>
      </w:r>
      <w:r w:rsidR="00986CC3">
        <w:rPr>
          <w:i/>
          <w:iCs/>
        </w:rPr>
        <w:t>reasonably accused and adjudged of posing a risk to public safety</w:t>
      </w:r>
      <w:r w:rsidR="00986CC3">
        <w:t>.</w:t>
      </w:r>
      <w:r w:rsidR="00ED658D">
        <w:t xml:space="preserve"> </w:t>
      </w:r>
      <w:r w:rsidR="00FD6FDC">
        <w:t xml:space="preserve">Respondents offer no explanation—and there is none—as to why states would </w:t>
      </w:r>
      <w:r w:rsidR="00A17AC2">
        <w:t xml:space="preserve">create such a </w:t>
      </w:r>
      <w:r w:rsidR="000F0CC7">
        <w:t xml:space="preserve">schizophrenic regime: law-abiding citizens are forbidden to carry, but those </w:t>
      </w:r>
      <w:r w:rsidR="008113E1">
        <w:t>who are found to be a threat to public safety alone can carry. To state Respo</w:t>
      </w:r>
      <w:r w:rsidR="00A7037B">
        <w:t>n</w:t>
      </w:r>
      <w:r w:rsidR="008113E1">
        <w:t>dents’ view</w:t>
      </w:r>
      <w:r w:rsidR="00A7037B">
        <w:t xml:space="preserve"> of history is to refute it.</w:t>
      </w:r>
    </w:p>
    <w:p w14:paraId="059382BB" w14:textId="0DC5C908" w:rsidR="005A3258" w:rsidRDefault="00E068E1" w:rsidP="00910155">
      <w:r>
        <w:t xml:space="preserve">Consistent with their text, surety-style laws were not understood or enforced as general bans on carrying firearms. </w:t>
      </w:r>
      <w:r w:rsidR="00EF6662">
        <w:t xml:space="preserve">In 1890, for example, Percy </w:t>
      </w:r>
      <w:proofErr w:type="spellStart"/>
      <w:r w:rsidR="00EF6662">
        <w:t>Bridgham</w:t>
      </w:r>
      <w:proofErr w:type="spellEnd"/>
      <w:r w:rsidR="00EF6662">
        <w:t xml:space="preserve">—a noted legal journalist for the Boston Daily Globe—explained that </w:t>
      </w:r>
      <w:r w:rsidR="00EF6662" w:rsidRPr="00F45284">
        <w:t>“[t]here is no statute in this State which expressly forbids the carrying of weapons, but there is a statute that provides that a person so carrying may be required to give bonds to keep the peace.”</w:t>
      </w:r>
      <w:r w:rsidR="00C26E94" w:rsidRPr="00C26E94">
        <w:rPr>
          <w:smallCaps/>
        </w:rPr>
        <w:t xml:space="preserve"> </w:t>
      </w:r>
      <w:r w:rsidR="00C26E94" w:rsidRPr="003A0CB7">
        <w:rPr>
          <w:smallCaps/>
        </w:rPr>
        <w:t xml:space="preserve">Percy A. </w:t>
      </w:r>
      <w:proofErr w:type="spellStart"/>
      <w:r w:rsidR="00C26E94" w:rsidRPr="003A0CB7">
        <w:rPr>
          <w:smallCaps/>
        </w:rPr>
        <w:t>Bridgham</w:t>
      </w:r>
      <w:proofErr w:type="spellEnd"/>
      <w:r w:rsidR="00C26E94" w:rsidRPr="003A0CB7">
        <w:rPr>
          <w:smallCaps/>
        </w:rPr>
        <w:t xml:space="preserve">, One Thousand Legal Questions Answered by the “People’s Lawyer” of the Boston Daily Globe </w:t>
      </w:r>
      <w:r w:rsidR="003A0CB7">
        <w:rPr>
          <w:smallCaps/>
        </w:rPr>
        <w:t xml:space="preserve">129 </w:t>
      </w:r>
      <w:r w:rsidR="00C26E94" w:rsidRPr="003A0CB7">
        <w:rPr>
          <w:smallCaps/>
        </w:rPr>
        <w:t>(1891</w:t>
      </w:r>
      <w:r w:rsidR="00C26E94" w:rsidRPr="00EF6662">
        <w:rPr>
          <w:smallCaps/>
        </w:rPr>
        <w:t>)</w:t>
      </w:r>
      <w:r w:rsidR="00C26E94" w:rsidRPr="00F45284">
        <w:t>.</w:t>
      </w:r>
      <w:r w:rsidR="00CE72CF">
        <w:t xml:space="preserve"> In 1895, the </w:t>
      </w:r>
      <w:r w:rsidR="00CE72CF" w:rsidRPr="00DB5D9C">
        <w:rPr>
          <w:i/>
          <w:iCs/>
        </w:rPr>
        <w:t>Boston Daily Advertiser</w:t>
      </w:r>
      <w:r w:rsidR="00CE72CF">
        <w:t xml:space="preserve"> similarly explained that </w:t>
      </w:r>
      <w:r w:rsidR="00CE72CF" w:rsidRPr="00F45284">
        <w:lastRenderedPageBreak/>
        <w:t>“Massachusetts has no specific law against carrying concealed weapons</w:t>
      </w:r>
      <w:r w:rsidR="005D04B9">
        <w:t>….</w:t>
      </w:r>
      <w:r w:rsidR="00CE72CF" w:rsidRPr="00F45284">
        <w:t xml:space="preserve"> The ordinary citizen who has not otherwise offended against the law is able to arm himself without fear of police interference, so long as he does not attempt to violate the law against the procession of armed organizations</w:t>
      </w:r>
      <w:r w:rsidR="00CE72CF" w:rsidRPr="00B869BD">
        <w:t>.”</w:t>
      </w:r>
      <w:r w:rsidR="00FF3E95">
        <w:rPr>
          <w:rStyle w:val="FootnoteReference"/>
        </w:rPr>
        <w:footnoteReference w:id="32"/>
      </w:r>
    </w:p>
    <w:p w14:paraId="44A99EE5" w14:textId="5101A105" w:rsidR="00E068E1" w:rsidRDefault="00E81CA5" w:rsidP="00910155">
      <w:r>
        <w:t>W</w:t>
      </w:r>
      <w:r w:rsidR="00EF6662">
        <w:t>hen surety law</w:t>
      </w:r>
      <w:r>
        <w:t>s</w:t>
      </w:r>
      <w:r w:rsidR="00EF6662">
        <w:t xml:space="preserve"> </w:t>
      </w:r>
      <w:r w:rsidR="00EF6662">
        <w:rPr>
          <w:i/>
          <w:iCs/>
        </w:rPr>
        <w:t>w</w:t>
      </w:r>
      <w:r>
        <w:rPr>
          <w:i/>
          <w:iCs/>
        </w:rPr>
        <w:t>ere</w:t>
      </w:r>
      <w:r w:rsidR="00EF6662">
        <w:rPr>
          <w:i/>
          <w:iCs/>
        </w:rPr>
        <w:t xml:space="preserve"> </w:t>
      </w:r>
      <w:r w:rsidR="00EF6662">
        <w:t xml:space="preserve">enforced, it was often with racial overtones. </w:t>
      </w:r>
      <w:r w:rsidR="00C95B91">
        <w:t>In 1856, two African Americans were arrested</w:t>
      </w:r>
      <w:r w:rsidR="00EC090C" w:rsidRPr="00EC090C">
        <w:t xml:space="preserve"> </w:t>
      </w:r>
      <w:r w:rsidR="00EC090C">
        <w:t>in the District of Columbia (where a surety-style law was enacted in 185</w:t>
      </w:r>
      <w:r w:rsidR="00C13E93">
        <w:t>5</w:t>
      </w:r>
      <w:r w:rsidR="00EC090C">
        <w:t>)</w:t>
      </w:r>
      <w:r w:rsidR="00EC090C">
        <w:rPr>
          <w:rStyle w:val="FootnoteReference"/>
        </w:rPr>
        <w:footnoteReference w:id="33"/>
      </w:r>
      <w:r w:rsidR="00EC090C">
        <w:t xml:space="preserve"> </w:t>
      </w:r>
      <w:r w:rsidR="00C95B91">
        <w:t xml:space="preserve"> and “ordered to give security to keep the peace” for “having loaded pistols with them at a fair held by colored persons in the Fourth Ward.”</w:t>
      </w:r>
      <w:r w:rsidR="00C95B91">
        <w:rPr>
          <w:rStyle w:val="FootnoteReference"/>
        </w:rPr>
        <w:footnoteReference w:id="34"/>
      </w:r>
      <w:r w:rsidR="00C95B91">
        <w:t xml:space="preserve"> </w:t>
      </w:r>
      <w:r w:rsidR="008B42F8">
        <w:t>Another African American, Lucas Dabney, was arrested in 1887 for “carrying a loaded revolver”</w:t>
      </w:r>
      <w:r w:rsidR="00574F18">
        <w:t>;</w:t>
      </w:r>
      <w:r w:rsidR="008B42F8">
        <w:t xml:space="preserve"> the judge “took Dabney’s personal bonds, and he was released.”</w:t>
      </w:r>
      <w:r w:rsidR="008B42F8">
        <w:rPr>
          <w:rStyle w:val="FootnoteReference"/>
        </w:rPr>
        <w:footnoteReference w:id="35"/>
      </w:r>
      <w:r w:rsidR="008B42F8">
        <w:t xml:space="preserve"> </w:t>
      </w:r>
    </w:p>
    <w:p w14:paraId="48C6078F" w14:textId="4BDF2191" w:rsidR="006F7FA8" w:rsidRPr="00A00521" w:rsidRDefault="006F7FA8" w:rsidP="00910155">
      <w:r>
        <w:t xml:space="preserve">Other newspaper accounts </w:t>
      </w:r>
      <w:r w:rsidR="00974B0B">
        <w:t xml:space="preserve">also do not support the revisionist </w:t>
      </w:r>
      <w:r>
        <w:t xml:space="preserve">interpretation of the surety-style laws. A March 7, </w:t>
      </w:r>
      <w:proofErr w:type="gramStart"/>
      <w:r>
        <w:t>1853</w:t>
      </w:r>
      <w:proofErr w:type="gramEnd"/>
      <w:r>
        <w:t xml:space="preserve"> item, for example, relates that one George W. Ransom of South Boston” was “charged with carrying a concealed weapon” on March 4.</w:t>
      </w:r>
      <w:r>
        <w:rPr>
          <w:rStyle w:val="FootnoteReference"/>
        </w:rPr>
        <w:footnoteReference w:id="36"/>
      </w:r>
      <w:r>
        <w:t xml:space="preserve">  </w:t>
      </w:r>
      <w:r w:rsidR="00F46450">
        <w:t>I</w:t>
      </w:r>
      <w:r>
        <w:t xml:space="preserve">t is clear from the rest of the article and from other historical sources that Ransom was one of a large number </w:t>
      </w:r>
      <w:r>
        <w:lastRenderedPageBreak/>
        <w:t>of persons arrested for taking part in a violent riot in Charlestown.</w:t>
      </w:r>
      <w:r>
        <w:rPr>
          <w:rStyle w:val="FootnoteReference"/>
        </w:rPr>
        <w:footnoteReference w:id="37"/>
      </w:r>
      <w:r>
        <w:t xml:space="preserve"> </w:t>
      </w:r>
      <w:r w:rsidR="00BE07A4">
        <w:t>Clearly, this was not an instance of peaceably carrying arms for self-defense.</w:t>
      </w:r>
    </w:p>
    <w:p w14:paraId="34D9CC09" w14:textId="3FB92346" w:rsidR="003457E5" w:rsidRDefault="00493B44" w:rsidP="00E8630C">
      <w:r>
        <w:t>Some have cited</w:t>
      </w:r>
      <w:r w:rsidR="00DC6C95">
        <w:t xml:space="preserve"> the</w:t>
      </w:r>
      <w:r w:rsidR="007B4750">
        <w:t xml:space="preserve"> 1836</w:t>
      </w:r>
      <w:r w:rsidR="00DC6C95">
        <w:t xml:space="preserve"> jury charge by </w:t>
      </w:r>
      <w:r w:rsidR="007B4750">
        <w:t xml:space="preserve">Boston Municipal Judge Peter </w:t>
      </w:r>
      <w:proofErr w:type="spellStart"/>
      <w:r w:rsidR="007B4750">
        <w:t>Oxenbridge</w:t>
      </w:r>
      <w:proofErr w:type="spellEnd"/>
      <w:r w:rsidR="007B4750">
        <w:t xml:space="preserve"> </w:t>
      </w:r>
      <w:proofErr w:type="spellStart"/>
      <w:r w:rsidR="007B4750">
        <w:t>Thacher</w:t>
      </w:r>
      <w:proofErr w:type="spellEnd"/>
      <w:r w:rsidR="007B4750">
        <w:t xml:space="preserve">, which </w:t>
      </w:r>
      <w:r w:rsidR="00E60798">
        <w:t>opined that in Massachusetts “</w:t>
      </w:r>
      <w:r w:rsidR="00E60798" w:rsidRPr="00E60798">
        <w:t>no person may go armed with a dirk, dagger, sword, pistol, or other offensive and dangerous weapon, without reasonable cause to apprehend an assault or violence to his person, family, or property</w:t>
      </w:r>
      <w:r w:rsidR="00E60798">
        <w:t xml:space="preserve">.” </w:t>
      </w:r>
      <w:r w:rsidR="00E60798" w:rsidRPr="0066019E">
        <w:t xml:space="preserve">Charles, </w:t>
      </w:r>
      <w:r w:rsidR="00E60798" w:rsidRPr="0066019E">
        <w:rPr>
          <w:i/>
          <w:iCs/>
        </w:rPr>
        <w:t>supra</w:t>
      </w:r>
      <w:r w:rsidR="00E60798" w:rsidRPr="0066019E">
        <w:t xml:space="preserve">, at </w:t>
      </w:r>
      <w:r w:rsidR="0066019E">
        <w:t>39-</w:t>
      </w:r>
      <w:r w:rsidR="00E60798" w:rsidRPr="0066019E">
        <w:t xml:space="preserve">40 (quoting </w:t>
      </w:r>
      <w:r w:rsidR="00E60798" w:rsidRPr="0066019E">
        <w:rPr>
          <w:smallCaps/>
        </w:rPr>
        <w:t xml:space="preserve">Peter </w:t>
      </w:r>
      <w:proofErr w:type="spellStart"/>
      <w:r w:rsidR="00E60798" w:rsidRPr="0066019E">
        <w:rPr>
          <w:smallCaps/>
        </w:rPr>
        <w:t>Oxenbridge</w:t>
      </w:r>
      <w:proofErr w:type="spellEnd"/>
      <w:r w:rsidR="00E60798" w:rsidRPr="0066019E">
        <w:rPr>
          <w:smallCaps/>
        </w:rPr>
        <w:t xml:space="preserve"> </w:t>
      </w:r>
      <w:proofErr w:type="spellStart"/>
      <w:r w:rsidR="00E60798" w:rsidRPr="0066019E">
        <w:rPr>
          <w:smallCaps/>
        </w:rPr>
        <w:t>Thacher</w:t>
      </w:r>
      <w:proofErr w:type="spellEnd"/>
      <w:r w:rsidR="00E60798" w:rsidRPr="0066019E">
        <w:rPr>
          <w:smallCaps/>
        </w:rPr>
        <w:t>, Two Charges to the Grand Jury of the County of Suffolk</w:t>
      </w:r>
      <w:r w:rsidR="00E60798" w:rsidRPr="0066019E">
        <w:t xml:space="preserve"> 27</w:t>
      </w:r>
      <w:r w:rsidR="00E82E0B" w:rsidRPr="0066019E">
        <w:t>-</w:t>
      </w:r>
      <w:r w:rsidR="00E60798" w:rsidRPr="0066019E">
        <w:t>28 (1837</w:t>
      </w:r>
      <w:r w:rsidR="00E60798" w:rsidRPr="00E60798">
        <w:t>)</w:t>
      </w:r>
      <w:r w:rsidR="001D5F0C">
        <w:t>)</w:t>
      </w:r>
      <w:r w:rsidR="00E60798" w:rsidRPr="00E60798">
        <w:t>.</w:t>
      </w:r>
      <w:r w:rsidR="001D5F0C">
        <w:t xml:space="preserve"> But </w:t>
      </w:r>
      <w:proofErr w:type="spellStart"/>
      <w:r w:rsidR="001D5F0C">
        <w:t>Thacher’s</w:t>
      </w:r>
      <w:proofErr w:type="spellEnd"/>
      <w:r w:rsidR="001D5F0C">
        <w:t xml:space="preserve"> speech was merely a welcome address at the opening of the grand jury term, not an instruction in a particular case; it did not purport to analyze </w:t>
      </w:r>
      <w:proofErr w:type="gramStart"/>
      <w:r w:rsidR="001D5F0C">
        <w:t>all of</w:t>
      </w:r>
      <w:proofErr w:type="gramEnd"/>
      <w:r w:rsidR="001D5F0C">
        <w:t xml:space="preserve"> the elements of the surety law—which by its plain text was </w:t>
      </w:r>
      <w:r>
        <w:t xml:space="preserve">narrowly </w:t>
      </w:r>
      <w:r w:rsidR="001D5F0C">
        <w:t xml:space="preserve">limited </w:t>
      </w:r>
      <w:r>
        <w:t xml:space="preserve">in the way </w:t>
      </w:r>
      <w:r w:rsidR="001D5F0C">
        <w:t>described above.</w:t>
      </w:r>
    </w:p>
    <w:p w14:paraId="1C885C7C" w14:textId="7D1A33F5" w:rsidR="004A0A94" w:rsidRDefault="00387BC8" w:rsidP="0026580A">
      <w:r>
        <w:t xml:space="preserve">B.  </w:t>
      </w:r>
      <w:r w:rsidR="003050DB">
        <w:t xml:space="preserve">The other type of regulation that States began to adopt in the 19th century—restrictions on carrying concealed firearms—regulated the </w:t>
      </w:r>
      <w:r w:rsidR="003050DB">
        <w:rPr>
          <w:i/>
          <w:iCs/>
        </w:rPr>
        <w:t xml:space="preserve">manner </w:t>
      </w:r>
      <w:r w:rsidR="003050DB">
        <w:t xml:space="preserve">of carrying arms, but they </w:t>
      </w:r>
      <w:r w:rsidR="003050DB" w:rsidRPr="000E155A">
        <w:t xml:space="preserve">did so against the background of </w:t>
      </w:r>
      <w:r w:rsidR="003050DB" w:rsidRPr="000E155A">
        <w:rPr>
          <w:i/>
        </w:rPr>
        <w:t>freely allowing</w:t>
      </w:r>
      <w:r w:rsidR="003050DB" w:rsidRPr="000E155A">
        <w:t xml:space="preserve"> the </w:t>
      </w:r>
      <w:r w:rsidR="003050DB" w:rsidRPr="000E155A">
        <w:rPr>
          <w:i/>
        </w:rPr>
        <w:t>open</w:t>
      </w:r>
      <w:r w:rsidR="003050DB" w:rsidRPr="000E155A">
        <w:t xml:space="preserve"> carrying of arms, thus “le[</w:t>
      </w:r>
      <w:proofErr w:type="spellStart"/>
      <w:r w:rsidR="003050DB" w:rsidRPr="000E155A">
        <w:t>aving</w:t>
      </w:r>
      <w:proofErr w:type="spellEnd"/>
      <w:r w:rsidR="003050DB" w:rsidRPr="000E155A">
        <w:t xml:space="preserve">] ample opportunities for bearing arms.” </w:t>
      </w:r>
      <w:r w:rsidR="006C4966">
        <w:rPr>
          <w:i/>
        </w:rPr>
        <w:t>Wrenn v. District of Columbia</w:t>
      </w:r>
      <w:r w:rsidR="006C4966">
        <w:rPr>
          <w:iCs/>
        </w:rPr>
        <w:t xml:space="preserve">, </w:t>
      </w:r>
      <w:r w:rsidR="007F1244">
        <w:rPr>
          <w:iCs/>
        </w:rPr>
        <w:t>864 F.3d 650,</w:t>
      </w:r>
      <w:r w:rsidR="003050DB" w:rsidRPr="000E155A">
        <w:t xml:space="preserve"> 662</w:t>
      </w:r>
      <w:r w:rsidR="007F1244">
        <w:t xml:space="preserve"> (D.C. Cir. 2017)</w:t>
      </w:r>
      <w:r w:rsidR="003050DB" w:rsidRPr="000E155A">
        <w:t>.</w:t>
      </w:r>
      <w:r w:rsidR="00DA6D81">
        <w:t xml:space="preserve"> The first such law appears to have been enacted in </w:t>
      </w:r>
      <w:r w:rsidR="00037066">
        <w:t>Kentucky</w:t>
      </w:r>
      <w:r w:rsidR="00DA6D81">
        <w:t xml:space="preserve"> in 1813; it imposed a fine on </w:t>
      </w:r>
      <w:r w:rsidR="00037066">
        <w:t>any</w:t>
      </w:r>
      <w:r w:rsidR="007F1244">
        <w:t>one</w:t>
      </w:r>
      <w:r w:rsidR="00037066">
        <w:t xml:space="preserve"> </w:t>
      </w:r>
      <w:r w:rsidR="00DA6D81">
        <w:t>“</w:t>
      </w:r>
      <w:r w:rsidR="00037066" w:rsidRPr="00037066">
        <w:t xml:space="preserve">who shall hereafter wear a pocket pistol, dirk, large knife, or sword in a cane, concealed as a weapon, unless </w:t>
      </w:r>
      <w:r w:rsidR="00037066" w:rsidRPr="00037066">
        <w:lastRenderedPageBreak/>
        <w:t>when travelling on a journey</w:t>
      </w:r>
      <w:r w:rsidR="00DA6D81">
        <w:t>.”</w:t>
      </w:r>
      <w:r w:rsidR="00DA6D81">
        <w:rPr>
          <w:rStyle w:val="FootnoteReference"/>
        </w:rPr>
        <w:footnoteReference w:id="38"/>
      </w:r>
      <w:r w:rsidR="00DA6D81">
        <w:t xml:space="preserve"> Similar laws were enacted in </w:t>
      </w:r>
      <w:r w:rsidR="00037066">
        <w:t>seven</w:t>
      </w:r>
      <w:r w:rsidR="00590793">
        <w:t xml:space="preserve"> </w:t>
      </w:r>
      <w:r w:rsidR="006C1580">
        <w:t>additional</w:t>
      </w:r>
      <w:r w:rsidR="00DA6D81">
        <w:t xml:space="preserve"> states</w:t>
      </w:r>
      <w:r w:rsidR="006C1580">
        <w:t xml:space="preserve"> or territories</w:t>
      </w:r>
      <w:r w:rsidR="00DA6D81">
        <w:t xml:space="preserve"> by 1860</w:t>
      </w:r>
      <w:r w:rsidR="00722FB5">
        <w:t>.</w:t>
      </w:r>
      <w:r w:rsidR="00634449">
        <w:rPr>
          <w:rStyle w:val="FootnoteReference"/>
        </w:rPr>
        <w:footnoteReference w:id="39"/>
      </w:r>
      <w:r w:rsidR="00DA6D81">
        <w:t xml:space="preserve"> </w:t>
      </w:r>
    </w:p>
    <w:p w14:paraId="201CAE1A" w14:textId="77302F7C" w:rsidR="004A0A94" w:rsidRDefault="00DA6D81" w:rsidP="0026580A">
      <w:r>
        <w:t>Such laws were consistent with “the social conventions of the time” which saw “concealed carry [as] the behavior of criminals,” manifesting “a hostile, and, if the expression may be allowed, a piratical disposition against the human race.”</w:t>
      </w:r>
      <w:r w:rsidR="0090671F">
        <w:t xml:space="preserve"> Eugene Volokh, </w:t>
      </w:r>
      <w:r w:rsidR="0090671F">
        <w:rPr>
          <w:i/>
          <w:iCs/>
        </w:rPr>
        <w:t>Implementing the Right to Keep and B</w:t>
      </w:r>
      <w:r w:rsidR="00E52855">
        <w:rPr>
          <w:i/>
          <w:iCs/>
        </w:rPr>
        <w:t>e</w:t>
      </w:r>
      <w:r w:rsidR="0090671F">
        <w:rPr>
          <w:i/>
          <w:iCs/>
        </w:rPr>
        <w:t>ar Arms for Self-Defense</w:t>
      </w:r>
      <w:r w:rsidR="0090671F">
        <w:t xml:space="preserve">, </w:t>
      </w:r>
      <w:r w:rsidR="0090671F" w:rsidRPr="004C4B58">
        <w:rPr>
          <w:smallCaps/>
        </w:rPr>
        <w:t>56 U.C.L.A. Law. Rev</w:t>
      </w:r>
      <w:r w:rsidR="0090671F">
        <w:t xml:space="preserve">. 1443, 1522-24 (2009) (quoting </w:t>
      </w:r>
      <w:r w:rsidR="0090671F" w:rsidRPr="004C4B58">
        <w:rPr>
          <w:i/>
          <w:iCs/>
        </w:rPr>
        <w:t>On Wearing Concealed Arms</w:t>
      </w:r>
      <w:r w:rsidR="0090671F" w:rsidRPr="004C4B58">
        <w:t xml:space="preserve">, </w:t>
      </w:r>
      <w:r w:rsidR="0090671F" w:rsidRPr="004C4B58">
        <w:rPr>
          <w:smallCaps/>
        </w:rPr>
        <w:t xml:space="preserve">Daily </w:t>
      </w:r>
      <w:proofErr w:type="spellStart"/>
      <w:r w:rsidR="0090671F" w:rsidRPr="004C4B58">
        <w:rPr>
          <w:smallCaps/>
        </w:rPr>
        <w:t>Nat’l</w:t>
      </w:r>
      <w:proofErr w:type="spellEnd"/>
      <w:r w:rsidR="0090671F" w:rsidRPr="004C4B58">
        <w:rPr>
          <w:smallCaps/>
        </w:rPr>
        <w:t xml:space="preserve"> Intelligencer</w:t>
      </w:r>
      <w:r w:rsidR="0090671F" w:rsidRPr="004C4B58">
        <w:t>, Sept. 9, 1820, at 2</w:t>
      </w:r>
      <w:r w:rsidR="0090671F">
        <w:t>)).</w:t>
      </w:r>
      <w:r>
        <w:t xml:space="preserve"> </w:t>
      </w:r>
      <w:r w:rsidR="004C4B58">
        <w:t xml:space="preserve">But they left the </w:t>
      </w:r>
      <w:proofErr w:type="gramStart"/>
      <w:r w:rsidR="004C4B58">
        <w:t>socially-preferred</w:t>
      </w:r>
      <w:proofErr w:type="gramEnd"/>
      <w:r w:rsidR="004C4B58">
        <w:t xml:space="preserve"> </w:t>
      </w:r>
      <w:r w:rsidR="004C4B58" w:rsidRPr="004C4B58">
        <w:rPr>
          <w:i/>
          <w:iCs/>
        </w:rPr>
        <w:t>open</w:t>
      </w:r>
      <w:r w:rsidR="004C4B58">
        <w:t xml:space="preserve"> manner of carrying untouched</w:t>
      </w:r>
      <w:r w:rsidR="004A0A94">
        <w:t>.</w:t>
      </w:r>
      <w:r w:rsidR="0026580A">
        <w:t xml:space="preserve"> </w:t>
      </w:r>
    </w:p>
    <w:p w14:paraId="23F037B7" w14:textId="66BA8608" w:rsidR="0026580A" w:rsidRDefault="0026580A" w:rsidP="0026580A">
      <w:r>
        <w:t>Even so</w:t>
      </w:r>
      <w:r w:rsidR="00380D74">
        <w:t xml:space="preserve"> limited</w:t>
      </w:r>
      <w:r>
        <w:t xml:space="preserve">, the initial judicial reception to these </w:t>
      </w:r>
      <w:r w:rsidR="009A5360">
        <w:t>la</w:t>
      </w:r>
      <w:r w:rsidR="00380D74">
        <w:t>w</w:t>
      </w:r>
      <w:r w:rsidR="009A5360">
        <w:t>s</w:t>
      </w:r>
      <w:r>
        <w:t xml:space="preserve"> was unfavorable: in </w:t>
      </w:r>
      <w:r>
        <w:rPr>
          <w:i/>
          <w:iCs/>
        </w:rPr>
        <w:t>Bliss v. Commonwealth</w:t>
      </w:r>
      <w:r>
        <w:t xml:space="preserve">, </w:t>
      </w:r>
      <w:r w:rsidR="009A5360">
        <w:t xml:space="preserve">the Kentucky Supreme Court struck down Kentucky’s concealed-carry restriction </w:t>
      </w:r>
      <w:r w:rsidR="00380D74">
        <w:t>as “f</w:t>
      </w:r>
      <w:r w:rsidR="00380D74" w:rsidRPr="00380D74">
        <w:t>orbidden by the explicit language of the constitution</w:t>
      </w:r>
      <w:r w:rsidR="00380D74">
        <w:t xml:space="preserve">,” reasoning that if the government could restrict either open or concealed carry singly, it would have power “by successive enactments, to entirely cut off the exercise of the right of the citizens to bear arms.” 12 Ky. </w:t>
      </w:r>
      <w:r w:rsidR="00305582">
        <w:t xml:space="preserve">(2 </w:t>
      </w:r>
      <w:proofErr w:type="spellStart"/>
      <w:r w:rsidR="00305582">
        <w:t>Litt</w:t>
      </w:r>
      <w:proofErr w:type="spellEnd"/>
      <w:r w:rsidR="00305582">
        <w:t xml:space="preserve">.) </w:t>
      </w:r>
      <w:r w:rsidR="00380D74">
        <w:t>90</w:t>
      </w:r>
      <w:r w:rsidR="004A0A94">
        <w:t>, 92</w:t>
      </w:r>
      <w:r w:rsidR="00380D74">
        <w:t xml:space="preserve"> (1822).</w:t>
      </w:r>
      <w:r w:rsidR="004A0A94">
        <w:t xml:space="preserve"> </w:t>
      </w:r>
      <w:r w:rsidR="00974B0B">
        <w:t xml:space="preserve">And </w:t>
      </w:r>
      <w:r w:rsidR="004A0A94">
        <w:t xml:space="preserve">while later courts generally upheld concealed carry restrictions, they made </w:t>
      </w:r>
      <w:proofErr w:type="gramStart"/>
      <w:r w:rsidR="004A0A94">
        <w:t>absolutely clear</w:t>
      </w:r>
      <w:proofErr w:type="gramEnd"/>
      <w:r w:rsidR="004A0A94">
        <w:t xml:space="preserve"> that</w:t>
      </w:r>
      <w:r w:rsidR="009032AD">
        <w:t xml:space="preserve"> the linchpin of these laws’ constitutionality </w:t>
      </w:r>
      <w:r w:rsidR="009032AD">
        <w:lastRenderedPageBreak/>
        <w:t>was the fact that they left</w:t>
      </w:r>
      <w:r w:rsidR="004A0A94">
        <w:t xml:space="preserve"> </w:t>
      </w:r>
      <w:r w:rsidR="004A0A94">
        <w:rPr>
          <w:i/>
          <w:iCs/>
        </w:rPr>
        <w:t xml:space="preserve">some </w:t>
      </w:r>
      <w:r w:rsidR="004A0A94">
        <w:t>manner of carry</w:t>
      </w:r>
      <w:r w:rsidR="009032AD">
        <w:t>ing arms—</w:t>
      </w:r>
      <w:r w:rsidR="00FE5963">
        <w:t>in these cases,</w:t>
      </w:r>
      <w:r w:rsidR="009032AD">
        <w:t xml:space="preserve"> openly—</w:t>
      </w:r>
      <w:r w:rsidR="004A0A94">
        <w:t>unfettered.</w:t>
      </w:r>
    </w:p>
    <w:p w14:paraId="72B2F27B" w14:textId="3C8AF937" w:rsidR="000065E0" w:rsidRPr="000065E0" w:rsidRDefault="007F3C16" w:rsidP="000065E0">
      <w:r>
        <w:rPr>
          <w:iCs/>
        </w:rPr>
        <w:t xml:space="preserve">In </w:t>
      </w:r>
      <w:r w:rsidR="009032AD" w:rsidRPr="00F27164">
        <w:rPr>
          <w:i/>
        </w:rPr>
        <w:t>State v. Reid</w:t>
      </w:r>
      <w:r w:rsidR="009032AD">
        <w:t>,</w:t>
      </w:r>
      <w:r>
        <w:t xml:space="preserve"> for example, the Supreme Court of Alabama held that the right to bear arms left the government with the authority to regulate the </w:t>
      </w:r>
      <w:r>
        <w:rPr>
          <w:i/>
          <w:iCs/>
        </w:rPr>
        <w:t xml:space="preserve">manner </w:t>
      </w:r>
      <w:r>
        <w:t xml:space="preserve">of carrying arms “as may be </w:t>
      </w:r>
      <w:r w:rsidRPr="007F3C16">
        <w:t>dictated by the safety of the people and the advancement of public morals</w:t>
      </w:r>
      <w:r w:rsidR="00A22998">
        <w:t>.</w:t>
      </w:r>
      <w:r>
        <w:t xml:space="preserve">” </w:t>
      </w:r>
      <w:r w:rsidR="00A22998" w:rsidRPr="007F3C16">
        <w:t>1 Ala. 612, 616</w:t>
      </w:r>
      <w:r w:rsidR="00A22998">
        <w:t xml:space="preserve"> </w:t>
      </w:r>
      <w:r w:rsidR="00A22998" w:rsidRPr="007F3C16">
        <w:t>(1840)</w:t>
      </w:r>
      <w:r w:rsidR="00A22998">
        <w:t>. B</w:t>
      </w:r>
      <w:r>
        <w:t>ut</w:t>
      </w:r>
      <w:r w:rsidR="00A22998">
        <w:t xml:space="preserve"> </w:t>
      </w:r>
      <w:r>
        <w:t>“</w:t>
      </w:r>
      <w:r w:rsidRPr="007F3C16">
        <w:t>the Legislature cannot inhibit the citizen from bearing arms openly</w:t>
      </w:r>
      <w:r w:rsidR="00A22998">
        <w:t>,</w:t>
      </w:r>
      <w:r>
        <w:t>” since “[a]</w:t>
      </w:r>
      <w:r w:rsidRPr="007F3C16">
        <w:t xml:space="preserve"> statute which, under the </w:t>
      </w:r>
      <w:proofErr w:type="spellStart"/>
      <w:r w:rsidRPr="007F3C16">
        <w:t>pretence</w:t>
      </w:r>
      <w:proofErr w:type="spellEnd"/>
      <w:r w:rsidRPr="007F3C16">
        <w:t xml:space="preserve"> of regulating, amounts to a destruction of the right, or which requires arms to be so borne as to render them wholly useless for the purpose of </w:t>
      </w:r>
      <w:proofErr w:type="spellStart"/>
      <w:r w:rsidRPr="007F3C16">
        <w:t>defence</w:t>
      </w:r>
      <w:proofErr w:type="spellEnd"/>
      <w:r w:rsidRPr="007F3C16">
        <w:t>, would be clearly</w:t>
      </w:r>
      <w:r w:rsidR="0079293A">
        <w:t xml:space="preserve"> </w:t>
      </w:r>
      <w:r w:rsidRPr="007F3C16">
        <w:t>unconstitutional</w:t>
      </w:r>
      <w:r>
        <w:t xml:space="preserve">.” </w:t>
      </w:r>
      <w:r w:rsidR="00A22998">
        <w:rPr>
          <w:i/>
          <w:iCs/>
        </w:rPr>
        <w:t xml:space="preserve">Id. </w:t>
      </w:r>
      <w:r w:rsidR="00A22998">
        <w:t>at</w:t>
      </w:r>
      <w:r w:rsidRPr="007F3C16">
        <w:t xml:space="preserve"> 616</w:t>
      </w:r>
      <w:r w:rsidR="00E82E0B">
        <w:t>-</w:t>
      </w:r>
      <w:r w:rsidRPr="007F3C16">
        <w:t>17</w:t>
      </w:r>
      <w:r>
        <w:t>, 619</w:t>
      </w:r>
      <w:r w:rsidR="008B726E">
        <w:t>.</w:t>
      </w:r>
      <w:r w:rsidR="00BC0DCD">
        <w:t xml:space="preserve"> </w:t>
      </w:r>
      <w:r w:rsidR="00493B44">
        <w:t>C</w:t>
      </w:r>
      <w:r w:rsidR="00BC0DCD">
        <w:t xml:space="preserve">ase after case followed the same path, upholding limits on carrying concealed arms but making clear that their constitutionality depended on the continued availability of the right to carry firearms openly. </w:t>
      </w:r>
      <w:bookmarkStart w:id="15" w:name="_Hlk74755319"/>
      <w:r w:rsidR="00BC0DCD">
        <w:rPr>
          <w:i/>
          <w:iCs/>
        </w:rPr>
        <w:t xml:space="preserve">See </w:t>
      </w:r>
      <w:proofErr w:type="spellStart"/>
      <w:r w:rsidR="009032AD" w:rsidRPr="00091ADD">
        <w:rPr>
          <w:i/>
          <w:iCs/>
        </w:rPr>
        <w:t>Aymette</w:t>
      </w:r>
      <w:proofErr w:type="spellEnd"/>
      <w:r w:rsidR="009032AD" w:rsidRPr="00091ADD">
        <w:rPr>
          <w:i/>
          <w:iCs/>
        </w:rPr>
        <w:t xml:space="preserve"> v. State</w:t>
      </w:r>
      <w:r w:rsidR="009032AD" w:rsidRPr="00091ADD">
        <w:t>, 21 Tenn. 154, 16</w:t>
      </w:r>
      <w:r w:rsidR="009032AD">
        <w:t>0</w:t>
      </w:r>
      <w:r w:rsidR="00E82E0B">
        <w:t>-</w:t>
      </w:r>
      <w:r w:rsidR="009032AD">
        <w:t>6</w:t>
      </w:r>
      <w:r w:rsidR="009032AD" w:rsidRPr="00091ADD">
        <w:t>1 (1840)</w:t>
      </w:r>
      <w:bookmarkEnd w:id="15"/>
      <w:r w:rsidR="00BC0DCD">
        <w:t xml:space="preserve">; </w:t>
      </w:r>
      <w:r w:rsidR="008B726E" w:rsidRPr="008B726E">
        <w:rPr>
          <w:i/>
          <w:iCs/>
        </w:rPr>
        <w:t>State v. Chandler</w:t>
      </w:r>
      <w:r w:rsidR="008B726E" w:rsidRPr="008B726E">
        <w:t>, 5 La. Ann. 489, 490 (1850)</w:t>
      </w:r>
      <w:r w:rsidR="007D2EB9">
        <w:t>;</w:t>
      </w:r>
      <w:r w:rsidR="0038504C">
        <w:t xml:space="preserve"> </w:t>
      </w:r>
      <w:r w:rsidR="0038504C">
        <w:rPr>
          <w:i/>
          <w:iCs/>
        </w:rPr>
        <w:t xml:space="preserve">State v. </w:t>
      </w:r>
      <w:proofErr w:type="spellStart"/>
      <w:r w:rsidR="0038504C">
        <w:rPr>
          <w:i/>
          <w:iCs/>
        </w:rPr>
        <w:t>Jumel</w:t>
      </w:r>
      <w:proofErr w:type="spellEnd"/>
      <w:r w:rsidR="0038504C">
        <w:t>, 13 La. Ann. 399, 399</w:t>
      </w:r>
      <w:r w:rsidR="00E82E0B">
        <w:t>-</w:t>
      </w:r>
      <w:r w:rsidR="0038504C">
        <w:t>400 (1858);</w:t>
      </w:r>
      <w:r w:rsidR="00A22998">
        <w:t xml:space="preserve"> </w:t>
      </w:r>
      <w:r w:rsidR="00A22998">
        <w:rPr>
          <w:i/>
          <w:iCs/>
        </w:rPr>
        <w:t xml:space="preserve">State v. </w:t>
      </w:r>
      <w:proofErr w:type="spellStart"/>
      <w:r w:rsidR="00A22998">
        <w:rPr>
          <w:i/>
          <w:iCs/>
        </w:rPr>
        <w:t>Wilforth</w:t>
      </w:r>
      <w:proofErr w:type="spellEnd"/>
      <w:r w:rsidR="00A22998">
        <w:t xml:space="preserve">, 74 Mo. 528, 531 (1881); </w:t>
      </w:r>
      <w:r w:rsidR="00A22998">
        <w:rPr>
          <w:i/>
          <w:iCs/>
        </w:rPr>
        <w:t>State v. Speller</w:t>
      </w:r>
      <w:r w:rsidR="00A22998">
        <w:t>, 86 N.C. 697, 700 (1882)</w:t>
      </w:r>
      <w:r w:rsidR="00B26488">
        <w:t>;</w:t>
      </w:r>
      <w:r w:rsidR="007D2EB9">
        <w:t xml:space="preserve"> </w:t>
      </w:r>
      <w:r w:rsidR="00414FC6">
        <w:rPr>
          <w:i/>
          <w:iCs/>
        </w:rPr>
        <w:t xml:space="preserve">see also </w:t>
      </w:r>
      <w:proofErr w:type="spellStart"/>
      <w:r w:rsidR="004A7920" w:rsidRPr="004A7920">
        <w:rPr>
          <w:i/>
          <w:iCs/>
        </w:rPr>
        <w:t>Cockrum</w:t>
      </w:r>
      <w:proofErr w:type="spellEnd"/>
      <w:r w:rsidR="004A7920" w:rsidRPr="004A7920">
        <w:rPr>
          <w:i/>
          <w:iCs/>
        </w:rPr>
        <w:t xml:space="preserve"> v. State</w:t>
      </w:r>
      <w:r w:rsidR="004A7920" w:rsidRPr="004A7920">
        <w:t>, 24 Tex. 394, 403 (1859)</w:t>
      </w:r>
      <w:r w:rsidR="00414FC6">
        <w:t xml:space="preserve"> (concluding that “[t]he right to carry a bowie-knife for lawful defense is secured, and must be admitted”)</w:t>
      </w:r>
      <w:r w:rsidR="000065E0">
        <w:t xml:space="preserve">; </w:t>
      </w:r>
      <w:r w:rsidR="000065E0">
        <w:rPr>
          <w:i/>
          <w:iCs/>
        </w:rPr>
        <w:t xml:space="preserve">compare </w:t>
      </w:r>
      <w:r w:rsidR="000065E0" w:rsidRPr="000065E0">
        <w:rPr>
          <w:i/>
          <w:iCs/>
        </w:rPr>
        <w:t>State v. Mitchell</w:t>
      </w:r>
      <w:r w:rsidR="000065E0" w:rsidRPr="000065E0">
        <w:t xml:space="preserve">, 3 </w:t>
      </w:r>
      <w:proofErr w:type="spellStart"/>
      <w:r w:rsidR="000065E0" w:rsidRPr="000065E0">
        <w:t>Blackf</w:t>
      </w:r>
      <w:proofErr w:type="spellEnd"/>
      <w:r w:rsidR="000065E0" w:rsidRPr="000065E0">
        <w:t>. 229, 229 (</w:t>
      </w:r>
      <w:r w:rsidR="00714087">
        <w:t xml:space="preserve">Ind. </w:t>
      </w:r>
      <w:r w:rsidR="000065E0" w:rsidRPr="000065E0">
        <w:t>1833)</w:t>
      </w:r>
      <w:r w:rsidR="000065E0">
        <w:t xml:space="preserve"> (upholding ban on concealed carry), </w:t>
      </w:r>
      <w:r w:rsidR="000065E0">
        <w:rPr>
          <w:i/>
          <w:iCs/>
        </w:rPr>
        <w:t xml:space="preserve">with </w:t>
      </w:r>
      <w:r w:rsidR="000065E0" w:rsidRPr="000065E0">
        <w:rPr>
          <w:i/>
          <w:iCs/>
        </w:rPr>
        <w:t>Walls v. State</w:t>
      </w:r>
      <w:r w:rsidR="000065E0" w:rsidRPr="000065E0">
        <w:t xml:space="preserve">, 7 </w:t>
      </w:r>
      <w:proofErr w:type="spellStart"/>
      <w:r w:rsidR="000065E0" w:rsidRPr="000065E0">
        <w:t>Blackf</w:t>
      </w:r>
      <w:proofErr w:type="spellEnd"/>
      <w:r w:rsidR="000065E0" w:rsidRPr="000065E0">
        <w:t>. 572, 573 (</w:t>
      </w:r>
      <w:r w:rsidR="00714087">
        <w:t xml:space="preserve">Ind. </w:t>
      </w:r>
      <w:r w:rsidR="000065E0" w:rsidRPr="000065E0">
        <w:t>1845)</w:t>
      </w:r>
      <w:r w:rsidR="000065E0">
        <w:t xml:space="preserve"> (suggesting defense would exist if defendant “</w:t>
      </w:r>
      <w:r w:rsidR="000065E0" w:rsidRPr="000065E0">
        <w:t>exhibited his pistol so frequently that it could not be said to be concealed</w:t>
      </w:r>
      <w:r w:rsidR="000065E0">
        <w:t>”).</w:t>
      </w:r>
    </w:p>
    <w:p w14:paraId="585EA08D" w14:textId="77E7BF5C" w:rsidR="009032AD" w:rsidRDefault="0026580A" w:rsidP="009032AD">
      <w:r>
        <w:lastRenderedPageBreak/>
        <w:t>I</w:t>
      </w:r>
      <w:r w:rsidR="00D87B68">
        <w:t>n the few</w:t>
      </w:r>
      <w:r w:rsidR="00091ADD">
        <w:t xml:space="preserve"> State</w:t>
      </w:r>
      <w:r w:rsidR="00D87B68">
        <w:t xml:space="preserve">s </w:t>
      </w:r>
      <w:r w:rsidR="00091ADD">
        <w:t xml:space="preserve">that </w:t>
      </w:r>
      <w:r w:rsidR="00091ADD">
        <w:rPr>
          <w:i/>
          <w:iCs/>
        </w:rPr>
        <w:t xml:space="preserve">did </w:t>
      </w:r>
      <w:r w:rsidR="00D87B68">
        <w:t>attempt to restrict</w:t>
      </w:r>
      <w:r w:rsidR="00091ADD">
        <w:rPr>
          <w:i/>
          <w:iCs/>
        </w:rPr>
        <w:t xml:space="preserve"> </w:t>
      </w:r>
      <w:r w:rsidR="00091ADD">
        <w:t xml:space="preserve">the right to carry arms openly </w:t>
      </w:r>
      <w:r w:rsidR="00D87B68">
        <w:t>as well, the courts</w:t>
      </w:r>
      <w:r w:rsidR="009032AD">
        <w:t xml:space="preserve"> </w:t>
      </w:r>
      <w:r w:rsidR="009032AD">
        <w:rPr>
          <w:i/>
          <w:iCs/>
        </w:rPr>
        <w:t>struck such laws down</w:t>
      </w:r>
      <w:r w:rsidR="009032AD">
        <w:t xml:space="preserve">. In </w:t>
      </w:r>
      <w:r w:rsidR="009032AD">
        <w:rPr>
          <w:i/>
          <w:iCs/>
        </w:rPr>
        <w:t>Nunn v. State</w:t>
      </w:r>
      <w:r w:rsidR="00722FB5">
        <w:t xml:space="preserve">—a case that </w:t>
      </w:r>
      <w:r w:rsidR="00722FB5">
        <w:rPr>
          <w:i/>
          <w:iCs/>
        </w:rPr>
        <w:t xml:space="preserve">Heller </w:t>
      </w:r>
      <w:r w:rsidR="00722FB5">
        <w:t xml:space="preserve">significantly relied upon and praised for “perfectly </w:t>
      </w:r>
      <w:proofErr w:type="spellStart"/>
      <w:r w:rsidR="00722FB5">
        <w:t>captur</w:t>
      </w:r>
      <w:proofErr w:type="spellEnd"/>
      <w:r w:rsidR="00722FB5">
        <w:t>[</w:t>
      </w:r>
      <w:proofErr w:type="spellStart"/>
      <w:r w:rsidR="00722FB5">
        <w:t>ing</w:t>
      </w:r>
      <w:proofErr w:type="spellEnd"/>
      <w:r w:rsidR="00722FB5">
        <w:t>]” the relationship between the Second Amendment’s prefatory and operative clauses—</w:t>
      </w:r>
      <w:r w:rsidR="009032AD">
        <w:t>the Georgia Supreme Court</w:t>
      </w:r>
      <w:r w:rsidR="00D87B68">
        <w:t xml:space="preserve"> made clear that to the exten</w:t>
      </w:r>
      <w:r>
        <w:t>t</w:t>
      </w:r>
      <w:r w:rsidR="00D87B68">
        <w:t xml:space="preserve"> </w:t>
      </w:r>
      <w:r w:rsidR="009032AD">
        <w:t>that State’s</w:t>
      </w:r>
      <w:r w:rsidR="00D87B68">
        <w:t xml:space="preserve"> law “</w:t>
      </w:r>
      <w:r w:rsidRPr="0026580A">
        <w:t>contains a prohibition against bearing arms </w:t>
      </w:r>
      <w:r w:rsidRPr="0026580A">
        <w:rPr>
          <w:i/>
          <w:iCs/>
        </w:rPr>
        <w:t>openly</w:t>
      </w:r>
      <w:r w:rsidRPr="0026580A">
        <w:t>,</w:t>
      </w:r>
      <w:r>
        <w:t xml:space="preserve"> [it]</w:t>
      </w:r>
      <w:r w:rsidRPr="0026580A">
        <w:t xml:space="preserve"> is in conflict with the Constitution, and </w:t>
      </w:r>
      <w:r w:rsidRPr="0026580A">
        <w:rPr>
          <w:i/>
          <w:iCs/>
        </w:rPr>
        <w:t>void</w:t>
      </w:r>
      <w:r>
        <w:t xml:space="preserve">.” </w:t>
      </w:r>
      <w:r w:rsidRPr="0026580A">
        <w:t>1 Ga. 243, 251 (1846</w:t>
      </w:r>
      <w:r>
        <w:t>)</w:t>
      </w:r>
      <w:r w:rsidR="0015294C">
        <w:t xml:space="preserve">; </w:t>
      </w:r>
      <w:r w:rsidR="0015294C">
        <w:rPr>
          <w:i/>
          <w:iCs/>
        </w:rPr>
        <w:t>accord Stockdale v. State</w:t>
      </w:r>
      <w:r w:rsidR="0015294C">
        <w:t>, 32 Ga. 225, 227 (1861)</w:t>
      </w:r>
      <w:r w:rsidR="009032AD">
        <w:t xml:space="preserve">. Similarly, while Tennessee </w:t>
      </w:r>
      <w:r w:rsidR="00DB6772">
        <w:t>attempted to limit both open and concealed carry,</w:t>
      </w:r>
      <w:r w:rsidR="00DB6772">
        <w:rPr>
          <w:rStyle w:val="FootnoteReference"/>
        </w:rPr>
        <w:footnoteReference w:id="40"/>
      </w:r>
      <w:r w:rsidR="00DB6772">
        <w:t xml:space="preserve"> </w:t>
      </w:r>
      <w:r w:rsidR="009032AD">
        <w:t>th</w:t>
      </w:r>
      <w:r w:rsidR="00DB6772">
        <w:t>at State’s highest c</w:t>
      </w:r>
      <w:r w:rsidR="009032AD">
        <w:t>ourt</w:t>
      </w:r>
      <w:r w:rsidR="00DB6772">
        <w:t xml:space="preserve"> ultimately struck the ban on open carry down</w:t>
      </w:r>
      <w:r w:rsidR="00B4630E">
        <w:t>.</w:t>
      </w:r>
      <w:r w:rsidR="00DB6772">
        <w:t xml:space="preserve"> </w:t>
      </w:r>
      <w:r w:rsidR="009032AD" w:rsidRPr="009032AD">
        <w:rPr>
          <w:i/>
          <w:iCs/>
        </w:rPr>
        <w:t>Andrews v. State</w:t>
      </w:r>
      <w:r w:rsidR="009032AD" w:rsidRPr="009032AD">
        <w:t xml:space="preserve">, 50 Tenn. 165, </w:t>
      </w:r>
      <w:r w:rsidR="00DB6772">
        <w:t>181, 187</w:t>
      </w:r>
      <w:r w:rsidR="009032AD" w:rsidRPr="009032AD">
        <w:t xml:space="preserve"> (1871)</w:t>
      </w:r>
      <w:r w:rsidR="00DB6772">
        <w:t>.</w:t>
      </w:r>
    </w:p>
    <w:p w14:paraId="121E80DE" w14:textId="3A878314" w:rsidR="00347AB7" w:rsidRPr="001C5E25" w:rsidRDefault="00347AB7" w:rsidP="001D1809">
      <w:r>
        <w:t>These judicial decisions were widely influential. For example, an abortive attempt in Washington D.C. to ban carrying firearms in any manner was swiftly replaced with a restriction on concealed carrying only,</w:t>
      </w:r>
      <w:r>
        <w:rPr>
          <w:rStyle w:val="FootnoteReference"/>
        </w:rPr>
        <w:footnoteReference w:id="41"/>
      </w:r>
      <w:r>
        <w:t xml:space="preserve"> </w:t>
      </w:r>
      <w:r w:rsidR="00556F4D">
        <w:t xml:space="preserve">with the City Council explaining that “the word ‘concealed’ ” had been added because “[f]or want of that word in the former bill, it is now certain that the corporation will lose every case before the circuit court by appeal from the decisions of the police </w:t>
      </w:r>
      <w:r w:rsidR="00556F4D">
        <w:lastRenderedPageBreak/>
        <w:t>magistrates.”</w:t>
      </w:r>
      <w:r w:rsidR="00556F4D">
        <w:rPr>
          <w:rStyle w:val="FootnoteReference"/>
        </w:rPr>
        <w:footnoteReference w:id="42"/>
      </w:r>
      <w:r w:rsidR="004E7B10">
        <w:t xml:space="preserve"> Prof. Cooley’s 1870 treatise explained that “to bear arms implies something more than the mere keeping,” but cited </w:t>
      </w:r>
      <w:r w:rsidR="004E7B10">
        <w:rPr>
          <w:i/>
          <w:iCs/>
        </w:rPr>
        <w:t xml:space="preserve">Andrews </w:t>
      </w:r>
      <w:r w:rsidR="004E7B10">
        <w:t>for the proposition that “the secret carrying of those suited merely to deadly individual encounters may be prohibited.”</w:t>
      </w:r>
      <w:r w:rsidR="005D46AA" w:rsidRPr="005D46AA">
        <w:rPr>
          <w:smallCaps/>
        </w:rPr>
        <w:t xml:space="preserve"> </w:t>
      </w:r>
      <w:r w:rsidR="005D46AA" w:rsidRPr="00A33A9B">
        <w:rPr>
          <w:smallCaps/>
        </w:rPr>
        <w:t>Thomas M. Cooley, The General Principles of Constitutional Law in the United States of America</w:t>
      </w:r>
      <w:r w:rsidR="005D46AA" w:rsidRPr="00A33A9B">
        <w:t xml:space="preserve"> 271-72 (1870</w:t>
      </w:r>
      <w:r w:rsidR="005D46AA">
        <w:t>).</w:t>
      </w:r>
      <w:r w:rsidR="001C5E25">
        <w:t xml:space="preserve"> </w:t>
      </w:r>
      <w:r w:rsidR="003E45C6">
        <w:t>A</w:t>
      </w:r>
      <w:r w:rsidR="001C5E25">
        <w:t xml:space="preserve">nother </w:t>
      </w:r>
      <w:r w:rsidR="005D46AA">
        <w:t>treatise</w:t>
      </w:r>
      <w:r w:rsidR="001C5E25">
        <w:t xml:space="preserve"> likewise explained that “the carrying of </w:t>
      </w:r>
      <w:r w:rsidR="001C5E25">
        <w:rPr>
          <w:i/>
          <w:iCs/>
        </w:rPr>
        <w:t xml:space="preserve">concealed </w:t>
      </w:r>
      <w:r w:rsidR="001C5E25">
        <w:t>weapons may be absolutely prohibited without the infringement of any constitutional right, while a statute forbidding the bearing of arms openly would be such an infringement.”</w:t>
      </w:r>
      <w:r w:rsidR="005D46AA" w:rsidRPr="005D46AA">
        <w:rPr>
          <w:smallCaps/>
        </w:rPr>
        <w:t xml:space="preserve"> </w:t>
      </w:r>
      <w:r w:rsidR="005D46AA" w:rsidRPr="007C0302">
        <w:rPr>
          <w:smallCaps/>
        </w:rPr>
        <w:t xml:space="preserve">John </w:t>
      </w:r>
      <w:proofErr w:type="spellStart"/>
      <w:r w:rsidR="005D46AA" w:rsidRPr="007C0302">
        <w:rPr>
          <w:smallCaps/>
        </w:rPr>
        <w:t>Ordronaux</w:t>
      </w:r>
      <w:proofErr w:type="spellEnd"/>
      <w:r w:rsidR="005D46AA" w:rsidRPr="007C0302">
        <w:rPr>
          <w:smallCaps/>
        </w:rPr>
        <w:t>, Constitutional Legislation in the United States</w:t>
      </w:r>
      <w:r w:rsidR="005D46AA" w:rsidRPr="007C0302">
        <w:t xml:space="preserve"> 242-43 (1891</w:t>
      </w:r>
      <w:r w:rsidR="005D46AA">
        <w:t>).</w:t>
      </w:r>
    </w:p>
    <w:p w14:paraId="478B7E70" w14:textId="099413E1" w:rsidR="0026580A" w:rsidRPr="009A6085" w:rsidRDefault="001540A3" w:rsidP="00714087">
      <w:r>
        <w:t xml:space="preserve">To be sure, </w:t>
      </w:r>
      <w:r w:rsidR="005E6610">
        <w:t xml:space="preserve">a handful of cases from </w:t>
      </w:r>
      <w:r w:rsidR="004D0DB0">
        <w:t>the post-Civil War era</w:t>
      </w:r>
      <w:r w:rsidR="005E6610">
        <w:t xml:space="preserve"> drew a different line in the sand</w:t>
      </w:r>
      <w:r w:rsidR="00CE72CF">
        <w:t>.</w:t>
      </w:r>
      <w:r w:rsidR="005E6610">
        <w:t xml:space="preserve"> </w:t>
      </w:r>
      <w:r w:rsidR="00CE72CF">
        <w:t>I</w:t>
      </w:r>
      <w:r w:rsidR="00130F3C">
        <w:t>nterpreting the right to bear arms as limited to the militia context, these cases reasoned that it extended “</w:t>
      </w:r>
      <w:r w:rsidR="00130F3C" w:rsidRPr="00130F3C">
        <w:t>to the arms of a militiaman or soldier</w:t>
      </w:r>
      <w:r w:rsidR="00130F3C">
        <w:t>,” such as “the musket and bayonet,</w:t>
      </w:r>
      <w:r w:rsidR="005D46AA">
        <w:t>”</w:t>
      </w:r>
      <w:r w:rsidR="00130F3C">
        <w:t xml:space="preserve"> but not smaller pistols, </w:t>
      </w:r>
      <w:r w:rsidR="00714087">
        <w:t>“</w:t>
      </w:r>
      <w:r w:rsidR="00130F3C" w:rsidRPr="00130F3C">
        <w:t>dirks, daggers, slungshots, sword-canes, brass-knuckles and bowie knives</w:t>
      </w:r>
      <w:r w:rsidR="00130F3C">
        <w:t xml:space="preserve">.” </w:t>
      </w:r>
      <w:r w:rsidR="00130F3C" w:rsidRPr="00130F3C">
        <w:rPr>
          <w:i/>
          <w:iCs/>
        </w:rPr>
        <w:t>Eng</w:t>
      </w:r>
      <w:r w:rsidR="00130F3C">
        <w:rPr>
          <w:i/>
          <w:iCs/>
        </w:rPr>
        <w:t>lish</w:t>
      </w:r>
      <w:r w:rsidR="00130F3C" w:rsidRPr="00130F3C">
        <w:rPr>
          <w:i/>
          <w:iCs/>
        </w:rPr>
        <w:t xml:space="preserve"> v. State</w:t>
      </w:r>
      <w:r w:rsidR="00130F3C" w:rsidRPr="00130F3C">
        <w:t>, 35 Tex. 473, 476</w:t>
      </w:r>
      <w:r w:rsidR="00E82E0B">
        <w:t>-</w:t>
      </w:r>
      <w:r w:rsidR="00130F3C">
        <w:t>77</w:t>
      </w:r>
      <w:r w:rsidR="00130F3C" w:rsidRPr="00130F3C">
        <w:t xml:space="preserve"> (187</w:t>
      </w:r>
      <w:r w:rsidR="007016B9">
        <w:t>1</w:t>
      </w:r>
      <w:r w:rsidR="00130F3C" w:rsidRPr="00130F3C">
        <w:t>)</w:t>
      </w:r>
      <w:r w:rsidR="00130F3C">
        <w:t xml:space="preserve">; </w:t>
      </w:r>
      <w:r w:rsidR="007029CD">
        <w:rPr>
          <w:i/>
          <w:iCs/>
        </w:rPr>
        <w:t xml:space="preserve">compare </w:t>
      </w:r>
      <w:r w:rsidR="007029CD" w:rsidRPr="008B726E">
        <w:rPr>
          <w:i/>
          <w:iCs/>
        </w:rPr>
        <w:t>State v. Buzzard</w:t>
      </w:r>
      <w:r w:rsidR="007029CD" w:rsidRPr="008B726E">
        <w:t>, 4 Ark. 18, 18 (1842)</w:t>
      </w:r>
      <w:r w:rsidR="007029CD">
        <w:t xml:space="preserve">, </w:t>
      </w:r>
      <w:r w:rsidR="007029CD">
        <w:rPr>
          <w:i/>
          <w:iCs/>
        </w:rPr>
        <w:t>Fife v. State</w:t>
      </w:r>
      <w:r w:rsidR="003B0A0A">
        <w:t>,</w:t>
      </w:r>
      <w:r w:rsidR="007029CD">
        <w:t xml:space="preserve"> 31 Ark. 455, 458</w:t>
      </w:r>
      <w:r w:rsidR="00E82E0B">
        <w:t>-</w:t>
      </w:r>
      <w:r w:rsidR="007029CD">
        <w:t>61 (1876), and</w:t>
      </w:r>
      <w:r w:rsidR="007029CD">
        <w:rPr>
          <w:i/>
          <w:iCs/>
        </w:rPr>
        <w:t xml:space="preserve"> Haile v. State</w:t>
      </w:r>
      <w:r w:rsidR="007029CD">
        <w:t>, 38 Ark. 564, 566</w:t>
      </w:r>
      <w:r w:rsidR="00E82E0B">
        <w:t>-</w:t>
      </w:r>
      <w:r w:rsidR="007029CD">
        <w:t xml:space="preserve">67 (1882), </w:t>
      </w:r>
      <w:r w:rsidR="007029CD">
        <w:rPr>
          <w:i/>
          <w:iCs/>
        </w:rPr>
        <w:t>with</w:t>
      </w:r>
      <w:r w:rsidR="007029CD" w:rsidRPr="007029CD">
        <w:rPr>
          <w:i/>
          <w:iCs/>
        </w:rPr>
        <w:t xml:space="preserve"> </w:t>
      </w:r>
      <w:r w:rsidR="007029CD" w:rsidRPr="008B726E">
        <w:rPr>
          <w:i/>
          <w:iCs/>
        </w:rPr>
        <w:t>Wilson v. State</w:t>
      </w:r>
      <w:r w:rsidR="007029CD" w:rsidRPr="008B726E">
        <w:t>, 33 Ark. 557, 559 (1878)</w:t>
      </w:r>
      <w:r w:rsidR="00A45E60">
        <w:t xml:space="preserve">; </w:t>
      </w:r>
      <w:r w:rsidR="00A45E60">
        <w:rPr>
          <w:i/>
          <w:iCs/>
        </w:rPr>
        <w:t xml:space="preserve">see also </w:t>
      </w:r>
      <w:r w:rsidR="00A45E60" w:rsidRPr="00A45E60">
        <w:rPr>
          <w:i/>
          <w:iCs/>
        </w:rPr>
        <w:t>Hill v. State</w:t>
      </w:r>
      <w:r w:rsidR="00A45E60" w:rsidRPr="006726E1">
        <w:t>, 53 Ga. 472</w:t>
      </w:r>
      <w:r w:rsidR="006726E1" w:rsidRPr="006726E1">
        <w:t>, 474</w:t>
      </w:r>
      <w:r w:rsidR="00E82E0B">
        <w:t>-</w:t>
      </w:r>
      <w:r w:rsidR="006726E1" w:rsidRPr="006726E1">
        <w:t>75</w:t>
      </w:r>
      <w:r w:rsidR="00A45E60" w:rsidRPr="006726E1">
        <w:t xml:space="preserve"> (1874)</w:t>
      </w:r>
      <w:r w:rsidR="00130F3C">
        <w:t xml:space="preserve">; </w:t>
      </w:r>
      <w:r w:rsidR="00714087" w:rsidRPr="000E101B">
        <w:t xml:space="preserve">2 </w:t>
      </w:r>
      <w:r w:rsidR="00714087" w:rsidRPr="000E101B">
        <w:rPr>
          <w:smallCaps/>
        </w:rPr>
        <w:t>Joel Prentiss Bishop, Commentaries on the Criminal Law</w:t>
      </w:r>
      <w:r w:rsidR="00714087" w:rsidRPr="000E101B">
        <w:t xml:space="preserve"> 74</w:t>
      </w:r>
      <w:r w:rsidR="00E82E0B" w:rsidRPr="000E101B">
        <w:t>-</w:t>
      </w:r>
      <w:r w:rsidR="00714087" w:rsidRPr="000E101B">
        <w:t>75, § 124 (4th ed. 1868</w:t>
      </w:r>
      <w:r w:rsidR="00714087">
        <w:t>)</w:t>
      </w:r>
      <w:r w:rsidR="007029CD" w:rsidRPr="006726E1">
        <w:t>.</w:t>
      </w:r>
      <w:r w:rsidR="00714087">
        <w:t xml:space="preserve"> </w:t>
      </w:r>
      <w:r w:rsidR="005E6610">
        <w:t>Hints of this reasoning are also present in a few of the</w:t>
      </w:r>
      <w:r w:rsidR="005D46AA">
        <w:t xml:space="preserve"> </w:t>
      </w:r>
      <w:r w:rsidR="005E6610">
        <w:t>cases</w:t>
      </w:r>
      <w:r w:rsidR="005D46AA">
        <w:t xml:space="preserve"> </w:t>
      </w:r>
      <w:r w:rsidR="005E6610">
        <w:lastRenderedPageBreak/>
        <w:t xml:space="preserve">that held that some form of carriage must be left unrestricted. </w:t>
      </w:r>
      <w:r w:rsidR="009A6085">
        <w:rPr>
          <w:i/>
          <w:iCs/>
        </w:rPr>
        <w:t xml:space="preserve">See </w:t>
      </w:r>
      <w:proofErr w:type="spellStart"/>
      <w:r w:rsidR="006418A3" w:rsidRPr="00091ADD">
        <w:rPr>
          <w:i/>
          <w:iCs/>
        </w:rPr>
        <w:t>Aymette</w:t>
      </w:r>
      <w:proofErr w:type="spellEnd"/>
      <w:r w:rsidR="006418A3" w:rsidRPr="00091ADD">
        <w:t>,</w:t>
      </w:r>
      <w:r w:rsidR="00FC2579" w:rsidRPr="00FC2579">
        <w:t xml:space="preserve"> </w:t>
      </w:r>
      <w:r w:rsidR="00FC2579" w:rsidRPr="00091ADD">
        <w:t xml:space="preserve">21 Tenn. </w:t>
      </w:r>
      <w:r w:rsidR="00FC2579">
        <w:t>at</w:t>
      </w:r>
      <w:r w:rsidR="006418A3" w:rsidRPr="00091ADD">
        <w:t xml:space="preserve"> 16</w:t>
      </w:r>
      <w:r w:rsidR="006418A3">
        <w:t>0</w:t>
      </w:r>
      <w:r w:rsidR="00E82E0B">
        <w:t>-</w:t>
      </w:r>
      <w:r w:rsidR="006418A3">
        <w:t>6</w:t>
      </w:r>
      <w:r w:rsidR="006418A3" w:rsidRPr="00091ADD">
        <w:t>1</w:t>
      </w:r>
      <w:r w:rsidR="006418A3">
        <w:t xml:space="preserve">; </w:t>
      </w:r>
      <w:r w:rsidR="006418A3" w:rsidRPr="009032AD">
        <w:rPr>
          <w:i/>
          <w:iCs/>
        </w:rPr>
        <w:t>Andrews</w:t>
      </w:r>
      <w:r w:rsidR="006418A3" w:rsidRPr="009032AD">
        <w:t xml:space="preserve">, 50 Tenn. </w:t>
      </w:r>
      <w:r w:rsidR="00FC2579">
        <w:t>at 179, 186</w:t>
      </w:r>
      <w:r w:rsidR="00E82E0B">
        <w:t>-</w:t>
      </w:r>
      <w:r w:rsidR="00FC2579">
        <w:t>88.</w:t>
      </w:r>
    </w:p>
    <w:p w14:paraId="3D46F587" w14:textId="2F2787E0" w:rsidR="009A6085" w:rsidRDefault="00714087" w:rsidP="002C465D">
      <w:r>
        <w:t xml:space="preserve">The fatal difficulty of relying on the cases articulating this alternative view, however, is that they are premised upon an interpretation of the </w:t>
      </w:r>
      <w:r w:rsidR="00CE72CF">
        <w:t>r</w:t>
      </w:r>
      <w:r>
        <w:t xml:space="preserve">ight to keep and bear arms that was expressly repudiated in </w:t>
      </w:r>
      <w:r>
        <w:rPr>
          <w:i/>
          <w:iCs/>
        </w:rPr>
        <w:t>Heller</w:t>
      </w:r>
      <w:r>
        <w:t>. That case “</w:t>
      </w:r>
      <w:r w:rsidRPr="00714087">
        <w:t>made clear that the Second Amendment is, </w:t>
      </w:r>
      <w:r w:rsidRPr="00714087">
        <w:rPr>
          <w:i/>
          <w:iCs/>
        </w:rPr>
        <w:t>and always has been</w:t>
      </w:r>
      <w:r w:rsidRPr="00714087">
        <w:t>, an individual right centered on self-defense; it has never been a right to be exercised only in connection with a militia.</w:t>
      </w:r>
      <w:r>
        <w:t xml:space="preserve">” </w:t>
      </w:r>
      <w:r>
        <w:rPr>
          <w:i/>
          <w:iCs/>
        </w:rPr>
        <w:t>Young</w:t>
      </w:r>
      <w:r>
        <w:t>, 992 F.3d at 837 (</w:t>
      </w:r>
      <w:proofErr w:type="spellStart"/>
      <w:r>
        <w:t>O’Scannlain</w:t>
      </w:r>
      <w:proofErr w:type="spellEnd"/>
      <w:r>
        <w:t>, J., dissenting). The</w:t>
      </w:r>
      <w:r w:rsidR="00BA4794">
        <w:t>se</w:t>
      </w:r>
      <w:r>
        <w:t xml:space="preserve"> </w:t>
      </w:r>
      <w:r w:rsidR="00BA4794">
        <w:t>few</w:t>
      </w:r>
      <w:r>
        <w:t xml:space="preserve"> historical precedents </w:t>
      </w:r>
      <w:r w:rsidR="00005C21">
        <w:t>are accordingly “</w:t>
      </w:r>
      <w:r w:rsidR="00005C21" w:rsidRPr="00005C21">
        <w:t>sapped of authority by </w:t>
      </w:r>
      <w:r w:rsidR="00005C21" w:rsidRPr="00005C21">
        <w:rPr>
          <w:i/>
          <w:iCs/>
        </w:rPr>
        <w:t>Heller</w:t>
      </w:r>
      <w:r w:rsidR="00005C21">
        <w:t xml:space="preserve">.” </w:t>
      </w:r>
      <w:r w:rsidR="00005C21" w:rsidRPr="00005C21">
        <w:rPr>
          <w:i/>
          <w:iCs/>
        </w:rPr>
        <w:t>Wrenn</w:t>
      </w:r>
      <w:r w:rsidR="00005C21" w:rsidRPr="00005C21">
        <w:t xml:space="preserve">, 864 F.3d </w:t>
      </w:r>
      <w:r w:rsidR="00005C21">
        <w:t>at</w:t>
      </w:r>
      <w:r w:rsidR="00005C21" w:rsidRPr="00005C21">
        <w:t xml:space="preserve"> 658</w:t>
      </w:r>
      <w:r w:rsidR="00005C21">
        <w:t xml:space="preserve">. </w:t>
      </w:r>
      <w:r w:rsidR="00BB5168">
        <w:t>P</w:t>
      </w:r>
      <w:r w:rsidR="009A6085">
        <w:t xml:space="preserve">ut differently, while a minority of historical cases concluded </w:t>
      </w:r>
      <w:r w:rsidR="00E067AA">
        <w:t xml:space="preserve">that a flat ban on carrying certain arms in public did not violate </w:t>
      </w:r>
      <w:r w:rsidR="00AB0C7C">
        <w:t>a</w:t>
      </w:r>
      <w:r w:rsidR="00E067AA">
        <w:t xml:space="preserve"> right to bear arms for militia service, </w:t>
      </w:r>
      <w:r w:rsidR="007029CD">
        <w:t>they did not</w:t>
      </w:r>
      <w:r w:rsidR="00E067AA">
        <w:t xml:space="preserve"> </w:t>
      </w:r>
      <w:r w:rsidR="00E067AA" w:rsidRPr="00E067AA">
        <w:rPr>
          <w:i/>
          <w:iCs/>
        </w:rPr>
        <w:t>even so much as suggest</w:t>
      </w:r>
      <w:r w:rsidR="00E067AA">
        <w:t xml:space="preserve"> that such a restriction was consistent with the right to bear arms </w:t>
      </w:r>
      <w:r w:rsidR="00E067AA">
        <w:rPr>
          <w:i/>
          <w:iCs/>
        </w:rPr>
        <w:t>for self-defense</w:t>
      </w:r>
      <w:r w:rsidR="00E067AA">
        <w:t>.</w:t>
      </w:r>
      <w:r w:rsidR="00F37047">
        <w:t xml:space="preserve">  </w:t>
      </w:r>
    </w:p>
    <w:p w14:paraId="693E1B38" w14:textId="7BBC76C5" w:rsidR="00CF10CE" w:rsidRDefault="00005C21" w:rsidP="002C465D">
      <w:r>
        <w:t xml:space="preserve">Indeed, we are aware of only one case before the twentieth century that </w:t>
      </w:r>
      <w:r w:rsidR="003D3298">
        <w:t>can plausibly</w:t>
      </w:r>
      <w:r>
        <w:t xml:space="preserve"> be read as supporting that view: the Texas Supreme Court’s post-bellum decision in </w:t>
      </w:r>
      <w:r>
        <w:rPr>
          <w:i/>
          <w:iCs/>
        </w:rPr>
        <w:t>State v. Duke</w:t>
      </w:r>
      <w:r>
        <w:t>, 42 Tex. 455 (1875).</w:t>
      </w:r>
      <w:r w:rsidR="003D3298">
        <w:rPr>
          <w:rStyle w:val="FootnoteReference"/>
        </w:rPr>
        <w:footnoteReference w:id="43"/>
      </w:r>
      <w:r>
        <w:t xml:space="preserve"> </w:t>
      </w:r>
      <w:r w:rsidR="002B1A36">
        <w:lastRenderedPageBreak/>
        <w:t xml:space="preserve">In </w:t>
      </w:r>
      <w:r w:rsidR="002B1A36">
        <w:rPr>
          <w:i/>
          <w:iCs/>
        </w:rPr>
        <w:t>Duke</w:t>
      </w:r>
      <w:r w:rsidR="002B1A36">
        <w:t xml:space="preserve">, the court </w:t>
      </w:r>
      <w:r w:rsidR="00CF10CE">
        <w:t xml:space="preserve">overruled its earlier decision in </w:t>
      </w:r>
      <w:r w:rsidR="00CF10CE">
        <w:rPr>
          <w:i/>
          <w:iCs/>
        </w:rPr>
        <w:t>English</w:t>
      </w:r>
      <w:r w:rsidR="00CF10CE">
        <w:t xml:space="preserve"> that the right to bear arms was limited to arms suitable to militia service</w:t>
      </w:r>
      <w:r w:rsidR="002B1A36">
        <w:t xml:space="preserve">, but nonetheless held </w:t>
      </w:r>
      <w:r w:rsidR="00CF10CE">
        <w:t xml:space="preserve">that a ban on carrying concealable arms either concealed or openly, except </w:t>
      </w:r>
      <w:r w:rsidR="0098446F">
        <w:t xml:space="preserve">when reasonably needed for </w:t>
      </w:r>
      <w:r w:rsidR="00CF10CE">
        <w:t>self-defense, was “</w:t>
      </w:r>
      <w:r w:rsidR="00CF10CE" w:rsidRPr="00CF10CE">
        <w:t>a legitimate and highly proper regulation</w:t>
      </w:r>
      <w:r w:rsidR="00CF10CE">
        <w:t xml:space="preserve">” of the right.” </w:t>
      </w:r>
      <w:r w:rsidR="00CF10CE">
        <w:rPr>
          <w:i/>
          <w:iCs/>
        </w:rPr>
        <w:t xml:space="preserve">Id. </w:t>
      </w:r>
      <w:r w:rsidR="00CF10CE">
        <w:t>at 459.</w:t>
      </w:r>
      <w:r w:rsidR="002B1A36">
        <w:t xml:space="preserve"> </w:t>
      </w:r>
      <w:r w:rsidR="00DE37D4">
        <w:t xml:space="preserve">For at least </w:t>
      </w:r>
      <w:r w:rsidR="00CF10CE">
        <w:t>three</w:t>
      </w:r>
      <w:r w:rsidR="00DE37D4">
        <w:t xml:space="preserve"> reasons, however, </w:t>
      </w:r>
      <w:r w:rsidR="00DE37D4">
        <w:rPr>
          <w:i/>
          <w:iCs/>
        </w:rPr>
        <w:t xml:space="preserve">Duke </w:t>
      </w:r>
      <w:r w:rsidR="00DE37D4">
        <w:t xml:space="preserve">cannot support the proposition that the Second Amendment </w:t>
      </w:r>
      <w:r w:rsidR="00796DF6">
        <w:t xml:space="preserve">is </w:t>
      </w:r>
      <w:r w:rsidR="000C496A">
        <w:t>limited</w:t>
      </w:r>
      <w:r w:rsidR="00DE37D4">
        <w:t xml:space="preserve"> to </w:t>
      </w:r>
      <w:r w:rsidR="000C496A">
        <w:t>the home.</w:t>
      </w:r>
    </w:p>
    <w:p w14:paraId="5F44F86C" w14:textId="483C460B" w:rsidR="00AA2F73" w:rsidRDefault="007B362C" w:rsidP="00CF10CE">
      <w:r>
        <w:t>First,</w:t>
      </w:r>
      <w:r w:rsidR="00CF10CE">
        <w:t xml:space="preserve"> </w:t>
      </w:r>
      <w:r w:rsidR="00195317">
        <w:t>the solitary decision in</w:t>
      </w:r>
      <w:r w:rsidR="00CF10CE">
        <w:t xml:space="preserve"> </w:t>
      </w:r>
      <w:r w:rsidR="00CF10CE">
        <w:rPr>
          <w:i/>
          <w:iCs/>
        </w:rPr>
        <w:t xml:space="preserve">Duke </w:t>
      </w:r>
      <w:r w:rsidR="00CF10CE">
        <w:t>was “an outlier which marks perhaps the most restrictive interpretation that any nineteenth-century court gave to the defense-based right to bear arms.”</w:t>
      </w:r>
      <w:r w:rsidR="00CF10CE">
        <w:rPr>
          <w:rStyle w:val="FootnoteReference"/>
        </w:rPr>
        <w:footnoteReference w:id="44"/>
      </w:r>
      <w:r w:rsidR="00EC090C">
        <w:t xml:space="preserve"> </w:t>
      </w:r>
      <w:r w:rsidR="00EC090C">
        <w:rPr>
          <w:i/>
          <w:iCs/>
        </w:rPr>
        <w:t>Cf. Heller</w:t>
      </w:r>
      <w:r w:rsidR="00EC090C">
        <w:t>, 554 U.S. at 632 (“</w:t>
      </w:r>
      <w:r w:rsidR="00EC090C" w:rsidRPr="00EC090C">
        <w:t>we would not stake our interpretation of the Second Amendment upon a single law, in effect in a single city, that contradicts the overwhelming weight of other evidence</w:t>
      </w:r>
      <w:r w:rsidR="00EC090C">
        <w:t>”).</w:t>
      </w:r>
      <w:r w:rsidR="00CF10CE">
        <w:t xml:space="preserve"> Second, </w:t>
      </w:r>
      <w:r w:rsidR="00CF10CE">
        <w:rPr>
          <w:i/>
          <w:iCs/>
        </w:rPr>
        <w:t xml:space="preserve">Duke </w:t>
      </w:r>
      <w:r w:rsidR="00CF10CE">
        <w:t xml:space="preserve">was not </w:t>
      </w:r>
      <w:r w:rsidR="003C2B47">
        <w:t>decided</w:t>
      </w:r>
      <w:r w:rsidR="00CF10CE">
        <w:t xml:space="preserve"> until 1875</w:t>
      </w:r>
      <w:r w:rsidR="0050548E">
        <w:t xml:space="preserve">, </w:t>
      </w:r>
      <w:r w:rsidR="00CF10CE">
        <w:t>over three-quarters of a century after the Second Amendment</w:t>
      </w:r>
      <w:r w:rsidR="003C2B47">
        <w:t>’s</w:t>
      </w:r>
      <w:r w:rsidR="00CF10CE">
        <w:t xml:space="preserve"> </w:t>
      </w:r>
      <w:r w:rsidR="003C2B47">
        <w:t>ratification</w:t>
      </w:r>
      <w:r w:rsidR="00CF10CE">
        <w:t xml:space="preserve">. </w:t>
      </w:r>
      <w:r w:rsidR="0050548E">
        <w:t xml:space="preserve">By contrast, the decision in </w:t>
      </w:r>
      <w:r w:rsidR="0050548E">
        <w:rPr>
          <w:i/>
          <w:iCs/>
        </w:rPr>
        <w:t>Bliss</w:t>
      </w:r>
      <w:r w:rsidR="0050548E">
        <w:t>—written just three decades after ratification—concluded that “</w:t>
      </w:r>
      <w:r w:rsidR="00195317">
        <w:t xml:space="preserve">[t]he </w:t>
      </w:r>
      <w:r w:rsidR="00195317" w:rsidRPr="00195317">
        <w:t xml:space="preserve">right of the citizens to bear arms in </w:t>
      </w:r>
      <w:proofErr w:type="spellStart"/>
      <w:r w:rsidR="00195317" w:rsidRPr="00195317">
        <w:t>defence</w:t>
      </w:r>
      <w:proofErr w:type="spellEnd"/>
      <w:r w:rsidR="00195317" w:rsidRPr="00195317">
        <w:t xml:space="preserve"> of themselves and the state, must be preserved entire.</w:t>
      </w:r>
      <w:r w:rsidR="00195317">
        <w:t>” 12 Ky. at 91.</w:t>
      </w:r>
      <w:r w:rsidR="00AA2F73">
        <w:t xml:space="preserve"> </w:t>
      </w:r>
    </w:p>
    <w:p w14:paraId="758D8498" w14:textId="24A28354" w:rsidR="00AA2F73" w:rsidRPr="00AA2F73" w:rsidRDefault="00AA2F73" w:rsidP="00AA2F73">
      <w:r>
        <w:lastRenderedPageBreak/>
        <w:t xml:space="preserve">Third, </w:t>
      </w:r>
      <w:r>
        <w:rPr>
          <w:i/>
          <w:iCs/>
        </w:rPr>
        <w:t>Duke</w:t>
      </w:r>
      <w:r>
        <w:t xml:space="preserve">—citing this Court’s decision in </w:t>
      </w:r>
      <w:r>
        <w:rPr>
          <w:i/>
          <w:iCs/>
        </w:rPr>
        <w:t>Barron v. Baltimore</w:t>
      </w:r>
      <w:r>
        <w:t xml:space="preserve">, </w:t>
      </w:r>
      <w:r w:rsidR="003C2B47">
        <w:t>7 Pet. (</w:t>
      </w:r>
      <w:r>
        <w:t>32 U.S.</w:t>
      </w:r>
      <w:r w:rsidR="003C2B47">
        <w:t>)</w:t>
      </w:r>
      <w:r>
        <w:t xml:space="preserve"> 243 (1833)—confined its reasoning to </w:t>
      </w:r>
      <w:r>
        <w:rPr>
          <w:i/>
          <w:iCs/>
        </w:rPr>
        <w:t>Texas</w:t>
      </w:r>
      <w:r>
        <w:t>’s arms guarantee, which expressly subjected the right to keep and bear arms to “</w:t>
      </w:r>
      <w:r w:rsidRPr="00AA2F73">
        <w:t>such regulations as the Legislature may prescribe</w:t>
      </w:r>
      <w:r>
        <w:t xml:space="preserve">.” </w:t>
      </w:r>
      <w:r>
        <w:rPr>
          <w:i/>
          <w:iCs/>
        </w:rPr>
        <w:t>Duke</w:t>
      </w:r>
      <w:r>
        <w:t>, 42 Tex. 458 (</w:t>
      </w:r>
      <w:r w:rsidRPr="000C5F82">
        <w:t xml:space="preserve">quoting </w:t>
      </w:r>
      <w:r w:rsidRPr="000C5F82">
        <w:rPr>
          <w:smallCaps/>
        </w:rPr>
        <w:t>Tex. Const</w:t>
      </w:r>
      <w:r w:rsidRPr="000C5F82">
        <w:t>. art. I, § 13 (1866</w:t>
      </w:r>
      <w:r>
        <w:t>)). “</w:t>
      </w:r>
      <w:r w:rsidRPr="00AA2F73">
        <w:t>While the Second Amendment surely tolerates some degree of regulation, its very text conspicuously omits any such regulatory caveat. We shouldn</w:t>
      </w:r>
      <w:r>
        <w:t>’</w:t>
      </w:r>
      <w:r w:rsidRPr="00AA2F73">
        <w:t>t pencil one in.</w:t>
      </w:r>
      <w:r>
        <w:t xml:space="preserve">” </w:t>
      </w:r>
      <w:r w:rsidRPr="00AA2F73">
        <w:rPr>
          <w:i/>
          <w:iCs/>
        </w:rPr>
        <w:t>Young</w:t>
      </w:r>
      <w:r w:rsidRPr="00AA2F73">
        <w:t xml:space="preserve">, 992 F.3d </w:t>
      </w:r>
      <w:r>
        <w:t>at</w:t>
      </w:r>
      <w:r w:rsidRPr="00AA2F73">
        <w:t xml:space="preserve"> 838</w:t>
      </w:r>
      <w:r w:rsidR="00E82E0B">
        <w:t>-</w:t>
      </w:r>
      <w:r w:rsidRPr="00AA2F73">
        <w:t>39 (</w:t>
      </w:r>
      <w:proofErr w:type="spellStart"/>
      <w:r>
        <w:t>O’Scannlain</w:t>
      </w:r>
      <w:proofErr w:type="spellEnd"/>
      <w:r>
        <w:t>, J., dissenting</w:t>
      </w:r>
      <w:r w:rsidRPr="00AA2F73">
        <w:t>)</w:t>
      </w:r>
    </w:p>
    <w:p w14:paraId="12446D9C" w14:textId="095724E1" w:rsidR="00EC090C" w:rsidRDefault="00974B0B" w:rsidP="00910155">
      <w:r>
        <w:t>Once again</w:t>
      </w:r>
      <w:r w:rsidR="00752E8F">
        <w:t xml:space="preserve">, the very existence of restrictions on </w:t>
      </w:r>
      <w:r w:rsidR="00752E8F">
        <w:rPr>
          <w:i/>
          <w:iCs/>
        </w:rPr>
        <w:t xml:space="preserve">concealed </w:t>
      </w:r>
      <w:r w:rsidR="00752E8F">
        <w:t xml:space="preserve">carry </w:t>
      </w:r>
      <w:r w:rsidR="005E65E4">
        <w:t>explode</w:t>
      </w:r>
      <w:r w:rsidR="00C6048E">
        <w:t>s</w:t>
      </w:r>
      <w:r w:rsidR="005E65E4">
        <w:t xml:space="preserve"> the notion</w:t>
      </w:r>
      <w:r w:rsidR="00CF1297">
        <w:t xml:space="preserve"> that the surety laws</w:t>
      </w:r>
      <w:r>
        <w:t xml:space="preserve"> discussed above</w:t>
      </w:r>
      <w:r w:rsidR="00CF1297">
        <w:t xml:space="preserve"> were understood </w:t>
      </w:r>
      <w:r w:rsidR="005E65E4">
        <w:t>as blanket bans on carrying arms</w:t>
      </w:r>
      <w:r w:rsidR="00CF1297">
        <w:t xml:space="preserve">. For </w:t>
      </w:r>
      <w:r w:rsidR="000E701D">
        <w:t>during the nineteenth century</w:t>
      </w:r>
      <w:r w:rsidR="00CF1297">
        <w:t xml:space="preserve">, at least </w:t>
      </w:r>
      <w:r w:rsidR="000E701D">
        <w:t>five</w:t>
      </w:r>
      <w:r w:rsidR="00CF1297">
        <w:t xml:space="preserve"> States enacted </w:t>
      </w:r>
      <w:r w:rsidR="00CF1297">
        <w:rPr>
          <w:i/>
          <w:iCs/>
        </w:rPr>
        <w:t>both types of laws</w:t>
      </w:r>
      <w:r w:rsidR="00CF1297">
        <w:t>.</w:t>
      </w:r>
      <w:r w:rsidR="000E701D">
        <w:rPr>
          <w:rStyle w:val="FootnoteReference"/>
        </w:rPr>
        <w:footnoteReference w:id="45"/>
      </w:r>
      <w:r w:rsidR="000E701D">
        <w:t xml:space="preserve"> </w:t>
      </w:r>
      <w:r w:rsidR="00C623C9">
        <w:t>Indeed,</w:t>
      </w:r>
      <w:r w:rsidR="000E701D">
        <w:t xml:space="preserve"> one of those States—West Virginia—</w:t>
      </w:r>
      <w:r w:rsidR="000E701D" w:rsidRPr="0008037B">
        <w:rPr>
          <w:i/>
          <w:iCs/>
        </w:rPr>
        <w:t>adopted both types of laws</w:t>
      </w:r>
      <w:r w:rsidR="000E701D">
        <w:t xml:space="preserve"> </w:t>
      </w:r>
      <w:r w:rsidR="00C623C9">
        <w:rPr>
          <w:i/>
          <w:iCs/>
        </w:rPr>
        <w:t>simultaneously</w:t>
      </w:r>
      <w:r w:rsidR="000E701D">
        <w:t>.</w:t>
      </w:r>
      <w:r w:rsidR="00CF1297">
        <w:t xml:space="preserve"> </w:t>
      </w:r>
      <w:r w:rsidR="00FF5EB0">
        <w:t xml:space="preserve">That would be utterly nonsensical if </w:t>
      </w:r>
      <w:r w:rsidR="00CF1297">
        <w:t>surety-style law</w:t>
      </w:r>
      <w:r w:rsidR="00FF5EB0">
        <w:t>s</w:t>
      </w:r>
      <w:r w:rsidR="00CF1297">
        <w:t xml:space="preserve"> really constituted </w:t>
      </w:r>
      <w:r>
        <w:t>general bans on carriage</w:t>
      </w:r>
      <w:r w:rsidR="00CF1297">
        <w:t xml:space="preserve">. </w:t>
      </w:r>
    </w:p>
    <w:p w14:paraId="3572B8FC" w14:textId="26999CD6" w:rsidR="006E1614" w:rsidRDefault="003E45C6" w:rsidP="008F4385">
      <w:r>
        <w:t>Indeed, t</w:t>
      </w:r>
      <w:r w:rsidR="00EC090C">
        <w:t xml:space="preserve">he </w:t>
      </w:r>
      <w:r w:rsidR="00EC090C" w:rsidRPr="00EC090C">
        <w:t xml:space="preserve">fact that there was </w:t>
      </w:r>
      <w:r w:rsidR="00EC090C" w:rsidRPr="00EC090C">
        <w:rPr>
          <w:i/>
        </w:rPr>
        <w:t>debate</w:t>
      </w:r>
      <w:r w:rsidR="00EC090C" w:rsidRPr="00EC090C">
        <w:t xml:space="preserve"> over the validity of concealed-carry </w:t>
      </w:r>
      <w:r>
        <w:t>restrictions</w:t>
      </w:r>
      <w:r w:rsidRPr="00EC090C">
        <w:t xml:space="preserve"> </w:t>
      </w:r>
      <w:r w:rsidR="00EC090C" w:rsidRPr="00EC090C">
        <w:t xml:space="preserve">proves that the right to bear arms was universally understood to extend beyond the home. For example, Oliver Wendell </w:t>
      </w:r>
      <w:r w:rsidR="00EC090C" w:rsidRPr="00EC090C">
        <w:lastRenderedPageBreak/>
        <w:t xml:space="preserve">Holmes, Jr., in his edition of James Kent’s Commentaries, noted </w:t>
      </w:r>
      <w:proofErr w:type="gramStart"/>
      <w:r w:rsidR="00EC090C" w:rsidRPr="00EC090C">
        <w:t>that</w:t>
      </w:r>
      <w:proofErr w:type="gramEnd"/>
      <w:r w:rsidR="00EC090C" w:rsidRPr="00EC090C">
        <w:t xml:space="preserve"> </w:t>
      </w:r>
    </w:p>
    <w:p w14:paraId="4F04DB45" w14:textId="77777777" w:rsidR="006E1614" w:rsidRDefault="006E1614" w:rsidP="006E1614">
      <w:pPr>
        <w:pStyle w:val="BlockText1"/>
      </w:pPr>
      <w:r>
        <w:t>A</w:t>
      </w:r>
      <w:r w:rsidR="00EC090C" w:rsidRPr="00EC090C">
        <w:t xml:space="preserve">s the Constitution of the United States, and the constitutions of several of the states, in terms </w:t>
      </w:r>
      <w:proofErr w:type="gramStart"/>
      <w:r w:rsidR="00EC090C" w:rsidRPr="00EC090C">
        <w:t>more or less comprehensive</w:t>
      </w:r>
      <w:proofErr w:type="gramEnd"/>
      <w:r w:rsidR="00EC090C" w:rsidRPr="00EC090C">
        <w:t xml:space="preserve">, declare the right of the people to keep and bear arms, it has been a subject of grave discussion, in some of the state courts, whether a statute prohibiting persons </w:t>
      </w:r>
      <w:r w:rsidR="005D04B9">
        <w:t>…</w:t>
      </w:r>
      <w:r w:rsidR="00EC090C" w:rsidRPr="00EC090C">
        <w:t xml:space="preserve"> from </w:t>
      </w:r>
      <w:r w:rsidR="00EC090C" w:rsidRPr="00EC090C">
        <w:rPr>
          <w:i/>
          <w:iCs/>
        </w:rPr>
        <w:t>wearing or carrying concealed weapons,</w:t>
      </w:r>
      <w:r w:rsidR="00EC090C" w:rsidRPr="00EC090C">
        <w:t xml:space="preserve"> be constitutional. There has been a great difference of opinion on the question.” </w:t>
      </w:r>
    </w:p>
    <w:p w14:paraId="2121D8F7" w14:textId="1BFF9C8A" w:rsidR="00752E8F" w:rsidRDefault="00EC090C" w:rsidP="006E1614">
      <w:pPr>
        <w:ind w:firstLine="0"/>
      </w:pPr>
      <w:r w:rsidRPr="001360A2">
        <w:t xml:space="preserve">2 </w:t>
      </w:r>
      <w:r w:rsidRPr="001360A2">
        <w:rPr>
          <w:smallCaps/>
        </w:rPr>
        <w:t>J. Kent, Commentaries on American Law</w:t>
      </w:r>
      <w:r w:rsidRPr="001360A2">
        <w:t xml:space="preserve"> *340 n.2 (O. Holmes ed.</w:t>
      </w:r>
      <w:r w:rsidR="00E30C36">
        <w:t>,</w:t>
      </w:r>
      <w:r w:rsidRPr="001360A2">
        <w:t xml:space="preserve"> 1873</w:t>
      </w:r>
      <w:r w:rsidRPr="00EC090C">
        <w:t>). This debate would have been inexplicable if</w:t>
      </w:r>
      <w:r>
        <w:t xml:space="preserve"> either the surety or Northampton-type laws were understood to generally ban carrying arms.</w:t>
      </w:r>
    </w:p>
    <w:p w14:paraId="23069BAE" w14:textId="5643C9E2" w:rsidR="001670F3" w:rsidRPr="00E34298" w:rsidRDefault="001670F3" w:rsidP="00910155">
      <w:r>
        <w:t xml:space="preserve">Some have sought to dismiss cases like </w:t>
      </w:r>
      <w:r>
        <w:rPr>
          <w:i/>
          <w:iCs/>
        </w:rPr>
        <w:t>Bliss</w:t>
      </w:r>
      <w:r>
        <w:t xml:space="preserve">, </w:t>
      </w:r>
      <w:r>
        <w:rPr>
          <w:i/>
          <w:iCs/>
        </w:rPr>
        <w:t>Nunn</w:t>
      </w:r>
      <w:r>
        <w:t xml:space="preserve">, and </w:t>
      </w:r>
      <w:r>
        <w:rPr>
          <w:i/>
          <w:iCs/>
        </w:rPr>
        <w:t>Reid</w:t>
      </w:r>
      <w:r>
        <w:t xml:space="preserve"> as based on an understanding of the Second Amendment right arising “almost exclusively from the slaveholding South” and rooted in “</w:t>
      </w:r>
      <w:r w:rsidRPr="001670F3">
        <w:t>a time, place, and culture where slavery, honor, violence, and the public carrying of weapons were intertwined.</w:t>
      </w:r>
      <w:r>
        <w:t>”</w:t>
      </w:r>
      <w:r w:rsidR="00B2380F" w:rsidRPr="00B2380F">
        <w:t xml:space="preserve"> </w:t>
      </w:r>
      <w:r w:rsidR="00B2380F" w:rsidRPr="001670F3">
        <w:t>Eric M. Ruben</w:t>
      </w:r>
      <w:r w:rsidR="00B2380F">
        <w:t xml:space="preserve"> &amp;</w:t>
      </w:r>
      <w:r w:rsidR="00B2380F" w:rsidRPr="001670F3">
        <w:t xml:space="preserve"> Saul Cornell, </w:t>
      </w:r>
      <w:r w:rsidR="00B2380F" w:rsidRPr="001670F3">
        <w:rPr>
          <w:i/>
          <w:iCs/>
        </w:rPr>
        <w:t>Firearm Regionalism and Public Carry</w:t>
      </w:r>
      <w:r w:rsidR="00AB0C7C">
        <w:t>,</w:t>
      </w:r>
      <w:r w:rsidR="00B2380F" w:rsidRPr="001670F3">
        <w:rPr>
          <w:i/>
          <w:iCs/>
        </w:rPr>
        <w:t xml:space="preserve"> </w:t>
      </w:r>
      <w:r w:rsidR="00B2380F" w:rsidRPr="001670F3">
        <w:t xml:space="preserve">125 </w:t>
      </w:r>
      <w:r w:rsidR="00B2380F" w:rsidRPr="001670F3">
        <w:rPr>
          <w:smallCaps/>
        </w:rPr>
        <w:t>Yale L.J. Forum</w:t>
      </w:r>
      <w:r w:rsidR="00B2380F" w:rsidRPr="001670F3">
        <w:t xml:space="preserve"> 121,</w:t>
      </w:r>
      <w:r w:rsidR="00B2380F">
        <w:t xml:space="preserve"> 123,</w:t>
      </w:r>
      <w:r w:rsidR="00B2380F" w:rsidRPr="001670F3">
        <w:t xml:space="preserve"> 125 (2015)</w:t>
      </w:r>
      <w:r w:rsidR="00B2380F">
        <w:t>.</w:t>
      </w:r>
      <w:r>
        <w:t xml:space="preserve"> That is completely ahistorical.</w:t>
      </w:r>
      <w:r w:rsidR="005963E5">
        <w:t xml:space="preserve"> </w:t>
      </w:r>
      <w:r w:rsidR="00D11C6A">
        <w:t xml:space="preserve">The same rule applied by Georgia in </w:t>
      </w:r>
      <w:r w:rsidR="00D11C6A">
        <w:rPr>
          <w:i/>
          <w:iCs/>
        </w:rPr>
        <w:t>Nunn</w:t>
      </w:r>
      <w:r w:rsidR="00D11C6A">
        <w:t xml:space="preserve"> and Alabama in </w:t>
      </w:r>
      <w:r w:rsidR="00D11C6A">
        <w:rPr>
          <w:i/>
          <w:iCs/>
        </w:rPr>
        <w:t xml:space="preserve">Reid </w:t>
      </w:r>
      <w:r w:rsidR="00D11C6A">
        <w:t xml:space="preserve">was followed by Massachusetts in </w:t>
      </w:r>
      <w:r w:rsidR="00D11C6A" w:rsidRPr="006453D5">
        <w:rPr>
          <w:i/>
          <w:iCs/>
        </w:rPr>
        <w:t>Com</w:t>
      </w:r>
      <w:r w:rsidR="00D11C6A">
        <w:rPr>
          <w:i/>
          <w:iCs/>
        </w:rPr>
        <w:t>monwealth</w:t>
      </w:r>
      <w:r w:rsidR="00D11C6A" w:rsidRPr="006453D5">
        <w:rPr>
          <w:i/>
          <w:iCs/>
        </w:rPr>
        <w:t xml:space="preserve"> v. Murphy</w:t>
      </w:r>
      <w:r w:rsidR="00D11C6A" w:rsidRPr="006453D5">
        <w:t>, 166 Mass. 171, 172 (1896)</w:t>
      </w:r>
      <w:r w:rsidR="00D11C6A">
        <w:t>. And more generally, the supposed “</w:t>
      </w:r>
      <w:r w:rsidR="00D11C6A" w:rsidRPr="0083589D">
        <w:t>regional variation in the [Northern and Southern] regulatory tradition[s]</w:t>
      </w:r>
      <w:r w:rsidR="00E4571C" w:rsidRPr="0083589D">
        <w:t>,</w:t>
      </w:r>
      <w:r w:rsidR="00E4571C">
        <w:t>”</w:t>
      </w:r>
      <w:r w:rsidR="00D11C6A">
        <w:t xml:space="preserve"> Cornell, </w:t>
      </w:r>
      <w:r w:rsidR="00D11C6A">
        <w:rPr>
          <w:i/>
          <w:iCs/>
        </w:rPr>
        <w:t>supra</w:t>
      </w:r>
      <w:r w:rsidR="00D11C6A">
        <w:t xml:space="preserve">, </w:t>
      </w:r>
      <w:r w:rsidR="00D11C6A" w:rsidRPr="0083589D">
        <w:t xml:space="preserve">at </w:t>
      </w:r>
      <w:r w:rsidR="00D11C6A" w:rsidRPr="0083589D">
        <w:lastRenderedPageBreak/>
        <w:t>38</w:t>
      </w:r>
      <w:r w:rsidR="00D11C6A">
        <w:t xml:space="preserve">, </w:t>
      </w:r>
      <w:r w:rsidR="00D11C6A">
        <w:rPr>
          <w:i/>
          <w:iCs/>
        </w:rPr>
        <w:t>simply did not exist</w:t>
      </w:r>
      <w:r w:rsidR="00D11C6A">
        <w:t xml:space="preserve">. </w:t>
      </w:r>
      <w:r w:rsidR="00806E2E">
        <w:t>Concealed carry restrictions</w:t>
      </w:r>
      <w:r w:rsidR="00953934">
        <w:t xml:space="preserve"> </w:t>
      </w:r>
      <w:r w:rsidR="00806E2E">
        <w:t xml:space="preserve">were adopted not only in Southern States like </w:t>
      </w:r>
      <w:r w:rsidR="00C1519A">
        <w:t>Georgia and Tennessee</w:t>
      </w:r>
      <w:r w:rsidR="00806E2E">
        <w:t xml:space="preserve"> </w:t>
      </w:r>
      <w:r w:rsidR="00806E2E" w:rsidRPr="00C1519A">
        <w:rPr>
          <w:i/>
          <w:iCs/>
        </w:rPr>
        <w:t>but also</w:t>
      </w:r>
      <w:r w:rsidR="00806E2E">
        <w:t xml:space="preserve"> </w:t>
      </w:r>
      <w:r w:rsidR="00C1519A">
        <w:t xml:space="preserve">in </w:t>
      </w:r>
      <w:r w:rsidR="00AB0C7C">
        <w:t>several</w:t>
      </w:r>
      <w:r w:rsidR="00C1519A">
        <w:t xml:space="preserve"> Northern States</w:t>
      </w:r>
      <w:r w:rsidR="00AB0C7C">
        <w:t>, including Indiana and Ohio in the antebellum period, and later</w:t>
      </w:r>
      <w:r w:rsidR="00C1519A">
        <w:t xml:space="preserve"> New Jersey, New York, Michigan, Iowa, </w:t>
      </w:r>
      <w:proofErr w:type="gramStart"/>
      <w:r w:rsidR="00C1519A">
        <w:t>Wisconsin</w:t>
      </w:r>
      <w:proofErr w:type="gramEnd"/>
      <w:r w:rsidR="00C1519A">
        <w:t xml:space="preserve"> and Oregon. And the surety-style laws that purportedly represent the “more restrictive” Northern tradition, </w:t>
      </w:r>
      <w:r w:rsidR="00C1519A">
        <w:rPr>
          <w:i/>
          <w:iCs/>
        </w:rPr>
        <w:t xml:space="preserve">id. </w:t>
      </w:r>
      <w:r w:rsidR="00C1519A">
        <w:t>at 39</w:t>
      </w:r>
      <w:r w:rsidR="00E34298">
        <w:t xml:space="preserve">; </w:t>
      </w:r>
      <w:r w:rsidR="00E34298">
        <w:rPr>
          <w:i/>
          <w:iCs/>
        </w:rPr>
        <w:t>but see supra</w:t>
      </w:r>
      <w:r w:rsidR="00E34298">
        <w:t xml:space="preserve">, Part </w:t>
      </w:r>
      <w:r w:rsidR="00E34298" w:rsidRPr="008F4385">
        <w:rPr>
          <w:highlight w:val="yellow"/>
        </w:rPr>
        <w:t>XX</w:t>
      </w:r>
      <w:r w:rsidR="00E34298">
        <w:t xml:space="preserve">, were adopted not only in Northern locales like Massachusetts but also in Slave States like Virginia and Texas. </w:t>
      </w:r>
    </w:p>
    <w:p w14:paraId="270FAC3B" w14:textId="08C24922" w:rsidR="00D11C6A" w:rsidRPr="00827750" w:rsidRDefault="00D11C6A" w:rsidP="00910155">
      <w:r>
        <w:t xml:space="preserve">Indeed, as shown above, </w:t>
      </w:r>
      <w:r w:rsidR="000002E2">
        <w:t xml:space="preserve">the one “regional variation,” Cornell, </w:t>
      </w:r>
      <w:r w:rsidR="000002E2">
        <w:rPr>
          <w:i/>
          <w:iCs/>
        </w:rPr>
        <w:t>supra</w:t>
      </w:r>
      <w:r w:rsidR="000002E2">
        <w:t xml:space="preserve">, at 38, that decidedly </w:t>
      </w:r>
      <w:r w:rsidR="000002E2">
        <w:rPr>
          <w:i/>
          <w:iCs/>
        </w:rPr>
        <w:t xml:space="preserve">did </w:t>
      </w:r>
      <w:r w:rsidR="000002E2">
        <w:t>exist was the South’s enforcement of the notorious Slave Codes</w:t>
      </w:r>
      <w:r w:rsidR="0015495C">
        <w:t xml:space="preserve">. </w:t>
      </w:r>
      <w:r w:rsidR="00827750">
        <w:rPr>
          <w:i/>
          <w:iCs/>
        </w:rPr>
        <w:t>See supra</w:t>
      </w:r>
      <w:r w:rsidR="00827750">
        <w:t xml:space="preserve">, Part </w:t>
      </w:r>
      <w:r w:rsidR="00827750" w:rsidRPr="008F4385">
        <w:rPr>
          <w:highlight w:val="yellow"/>
        </w:rPr>
        <w:t>XX</w:t>
      </w:r>
      <w:r w:rsidR="00827750">
        <w:t xml:space="preserve">. </w:t>
      </w:r>
      <w:r w:rsidR="00752E8F">
        <w:t>Accordingly, t</w:t>
      </w:r>
      <w:r w:rsidR="00827750">
        <w:t>o the extent that the Southern States’ “</w:t>
      </w:r>
      <w:r w:rsidR="00827750" w:rsidRPr="00827750">
        <w:t>distinct cultural phenomena of slavery and honor</w:t>
      </w:r>
      <w:r w:rsidR="00827750">
        <w:t xml:space="preserve">,” Ruben &amp; Cornell, </w:t>
      </w:r>
      <w:r w:rsidR="00827750">
        <w:rPr>
          <w:i/>
          <w:iCs/>
        </w:rPr>
        <w:t>supra</w:t>
      </w:r>
      <w:r w:rsidR="00827750">
        <w:t xml:space="preserve">, at 126, has any continuing relevance to the interpretation of the Second Amendment, it is </w:t>
      </w:r>
      <w:r w:rsidR="00752E8F">
        <w:t>this</w:t>
      </w:r>
      <w:r w:rsidR="00827750">
        <w:t xml:space="preserve">: it was the refusal by the Slave States to recognize the free and equal citizenship of African Americans that led those States to impose </w:t>
      </w:r>
      <w:r w:rsidR="00827750">
        <w:rPr>
          <w:i/>
          <w:iCs/>
        </w:rPr>
        <w:t>the</w:t>
      </w:r>
      <w:r w:rsidR="00752E8F">
        <w:rPr>
          <w:i/>
          <w:iCs/>
        </w:rPr>
        <w:t xml:space="preserve"> very laws that constitute the</w:t>
      </w:r>
      <w:r w:rsidR="00827750">
        <w:rPr>
          <w:i/>
          <w:iCs/>
        </w:rPr>
        <w:t xml:space="preserve"> closest historical analogues to the “proper cause” licensing restriction challenged in this case</w:t>
      </w:r>
      <w:r w:rsidR="00827750">
        <w:t>.</w:t>
      </w:r>
    </w:p>
    <w:p w14:paraId="7EBD94CF" w14:textId="5F3B3642" w:rsidR="00504533" w:rsidRPr="00504533" w:rsidRDefault="00504533" w:rsidP="00E839AB">
      <w:pPr>
        <w:pStyle w:val="Heading1"/>
      </w:pPr>
      <w:r>
        <w:t>Conclusion</w:t>
      </w:r>
    </w:p>
    <w:p w14:paraId="2FB51274" w14:textId="621C7372" w:rsidR="00504533" w:rsidRDefault="00504533" w:rsidP="00504533">
      <w:r>
        <w:t>The Court should reverse the judgment of the Second Circuit.</w:t>
      </w:r>
    </w:p>
    <w:p w14:paraId="4CA27040" w14:textId="3DDFDB92" w:rsidR="00504533" w:rsidRDefault="00504533" w:rsidP="00504533">
      <w:pPr>
        <w:keepNext/>
        <w:keepLines/>
        <w:tabs>
          <w:tab w:val="left" w:pos="2970"/>
        </w:tabs>
        <w:ind w:firstLine="0"/>
      </w:pPr>
      <w:r>
        <w:lastRenderedPageBreak/>
        <w:t>Ju</w:t>
      </w:r>
      <w:r w:rsidR="007F0EB4">
        <w:t>ly</w:t>
      </w:r>
      <w:r>
        <w:t xml:space="preserve"> </w:t>
      </w:r>
      <w:r w:rsidR="001708C8">
        <w:t>20</w:t>
      </w:r>
      <w:r>
        <w:t xml:space="preserve">, </w:t>
      </w:r>
      <w:proofErr w:type="gramStart"/>
      <w:r>
        <w:t>2021</w:t>
      </w:r>
      <w:proofErr w:type="gramEnd"/>
      <w:r>
        <w:tab/>
        <w:t>Respectfully submitted,</w:t>
      </w:r>
    </w:p>
    <w:tbl>
      <w:tblPr>
        <w:tblW w:w="6477" w:type="dxa"/>
        <w:jc w:val="center"/>
        <w:tblLook w:val="01E0" w:firstRow="1" w:lastRow="1" w:firstColumn="1" w:lastColumn="1" w:noHBand="0" w:noVBand="0"/>
      </w:tblPr>
      <w:tblGrid>
        <w:gridCol w:w="3240"/>
        <w:gridCol w:w="3237"/>
      </w:tblGrid>
      <w:tr w:rsidR="00504533" w14:paraId="58699D2A" w14:textId="77777777" w:rsidTr="00310859">
        <w:trPr>
          <w:jc w:val="center"/>
        </w:trPr>
        <w:tc>
          <w:tcPr>
            <w:tcW w:w="3240" w:type="dxa"/>
          </w:tcPr>
          <w:p w14:paraId="0EB9388B" w14:textId="77777777" w:rsidR="00504533" w:rsidRDefault="00504533" w:rsidP="00310859">
            <w:pPr>
              <w:keepNext/>
              <w:keepLines/>
              <w:tabs>
                <w:tab w:val="left" w:pos="2880"/>
              </w:tabs>
              <w:spacing w:line="280" w:lineRule="exact"/>
              <w:ind w:firstLine="0"/>
              <w:jc w:val="left"/>
              <w:rPr>
                <w:rFonts w:cstheme="minorBidi"/>
                <w:smallCaps/>
              </w:rPr>
            </w:pPr>
          </w:p>
        </w:tc>
        <w:tc>
          <w:tcPr>
            <w:tcW w:w="3237" w:type="dxa"/>
          </w:tcPr>
          <w:p w14:paraId="72BAF88C" w14:textId="77777777" w:rsidR="00504533" w:rsidRDefault="00504533" w:rsidP="00310859">
            <w:pPr>
              <w:keepNext/>
              <w:keepLines/>
              <w:tabs>
                <w:tab w:val="left" w:pos="2880"/>
              </w:tabs>
              <w:spacing w:line="280" w:lineRule="exact"/>
              <w:ind w:left="-105" w:firstLine="0"/>
              <w:contextualSpacing/>
              <w:jc w:val="left"/>
              <w:rPr>
                <w:rFonts w:cstheme="minorBidi"/>
                <w:smallCaps/>
              </w:rPr>
            </w:pPr>
          </w:p>
          <w:p w14:paraId="09DDFAB7" w14:textId="77777777" w:rsidR="00504533" w:rsidRDefault="00504533" w:rsidP="00310859">
            <w:pPr>
              <w:keepNext/>
              <w:keepLines/>
              <w:tabs>
                <w:tab w:val="left" w:pos="2880"/>
              </w:tabs>
              <w:spacing w:line="280" w:lineRule="exact"/>
              <w:ind w:left="-105" w:firstLine="0"/>
              <w:contextualSpacing/>
              <w:jc w:val="left"/>
              <w:rPr>
                <w:rFonts w:cstheme="minorBidi"/>
                <w:smallCaps/>
              </w:rPr>
            </w:pPr>
            <w:r>
              <w:rPr>
                <w:rFonts w:cstheme="minorBidi"/>
                <w:smallCaps/>
              </w:rPr>
              <w:t>David H. Thompson</w:t>
            </w:r>
          </w:p>
          <w:p w14:paraId="23E7E8AB" w14:textId="77777777" w:rsidR="00504533" w:rsidRDefault="00504533" w:rsidP="00310859">
            <w:pPr>
              <w:keepNext/>
              <w:keepLines/>
              <w:tabs>
                <w:tab w:val="left" w:pos="2880"/>
              </w:tabs>
              <w:spacing w:line="280" w:lineRule="exact"/>
              <w:ind w:left="-105" w:firstLine="0"/>
              <w:contextualSpacing/>
              <w:jc w:val="left"/>
              <w:rPr>
                <w:rFonts w:cstheme="minorBidi"/>
                <w:smallCaps/>
              </w:rPr>
            </w:pPr>
            <w:r>
              <w:rPr>
                <w:rFonts w:cstheme="minorBidi"/>
                <w:i/>
              </w:rPr>
              <w:t xml:space="preserve">   Counsel of Record</w:t>
            </w:r>
          </w:p>
          <w:p w14:paraId="7E2D9996" w14:textId="6CC63AD0" w:rsidR="00504533" w:rsidRDefault="00504533" w:rsidP="00310859">
            <w:pPr>
              <w:keepNext/>
              <w:keepLines/>
              <w:tabs>
                <w:tab w:val="left" w:pos="2880"/>
              </w:tabs>
              <w:spacing w:line="280" w:lineRule="exact"/>
              <w:ind w:left="-105" w:firstLine="0"/>
              <w:contextualSpacing/>
              <w:jc w:val="left"/>
              <w:rPr>
                <w:rFonts w:cstheme="minorBidi"/>
                <w:smallCaps/>
              </w:rPr>
            </w:pPr>
            <w:r>
              <w:rPr>
                <w:rFonts w:cstheme="minorBidi"/>
                <w:smallCaps/>
              </w:rPr>
              <w:t>Peter A. Patterson</w:t>
            </w:r>
          </w:p>
          <w:p w14:paraId="0EB4843F" w14:textId="77777777" w:rsidR="00504533" w:rsidRDefault="00504533" w:rsidP="00310859">
            <w:pPr>
              <w:keepNext/>
              <w:keepLines/>
              <w:tabs>
                <w:tab w:val="left" w:pos="2880"/>
              </w:tabs>
              <w:spacing w:line="280" w:lineRule="exact"/>
              <w:ind w:left="-105" w:firstLine="0"/>
              <w:contextualSpacing/>
              <w:jc w:val="left"/>
              <w:rPr>
                <w:rFonts w:cstheme="minorBidi"/>
                <w:smallCaps/>
              </w:rPr>
            </w:pPr>
            <w:r>
              <w:rPr>
                <w:rFonts w:cstheme="minorBidi"/>
                <w:smallCaps/>
              </w:rPr>
              <w:t>Cooper &amp; Kirk, PLLC</w:t>
            </w:r>
          </w:p>
          <w:p w14:paraId="3E4218F6" w14:textId="77777777" w:rsidR="00504533" w:rsidRDefault="00504533" w:rsidP="00310859">
            <w:pPr>
              <w:keepNext/>
              <w:keepLines/>
              <w:tabs>
                <w:tab w:val="left" w:pos="2880"/>
              </w:tabs>
              <w:spacing w:line="280" w:lineRule="exact"/>
              <w:ind w:left="-105" w:firstLine="0"/>
              <w:contextualSpacing/>
              <w:jc w:val="left"/>
              <w:rPr>
                <w:rFonts w:cstheme="minorBidi"/>
              </w:rPr>
            </w:pPr>
            <w:r>
              <w:rPr>
                <w:rFonts w:cstheme="minorBidi"/>
              </w:rPr>
              <w:t>1523 New Hampshire</w:t>
            </w:r>
          </w:p>
          <w:p w14:paraId="08C4786D" w14:textId="77777777" w:rsidR="00504533" w:rsidRDefault="00504533" w:rsidP="00310859">
            <w:pPr>
              <w:keepNext/>
              <w:keepLines/>
              <w:tabs>
                <w:tab w:val="left" w:pos="2880"/>
              </w:tabs>
              <w:spacing w:line="280" w:lineRule="exact"/>
              <w:ind w:left="-105" w:firstLine="342"/>
              <w:contextualSpacing/>
              <w:jc w:val="left"/>
              <w:rPr>
                <w:rFonts w:cstheme="minorBidi"/>
                <w:smallCaps/>
              </w:rPr>
            </w:pPr>
            <w:r>
              <w:rPr>
                <w:rFonts w:cstheme="minorBidi"/>
              </w:rPr>
              <w:t>Avenue, N.W.</w:t>
            </w:r>
          </w:p>
          <w:p w14:paraId="744CA604" w14:textId="77777777" w:rsidR="00504533" w:rsidRDefault="00504533" w:rsidP="00310859">
            <w:pPr>
              <w:keepNext/>
              <w:keepLines/>
              <w:tabs>
                <w:tab w:val="left" w:pos="2880"/>
              </w:tabs>
              <w:spacing w:line="280" w:lineRule="exact"/>
              <w:ind w:left="-105" w:firstLine="0"/>
              <w:contextualSpacing/>
              <w:jc w:val="left"/>
              <w:rPr>
                <w:rFonts w:cstheme="minorBidi"/>
                <w:smallCaps/>
              </w:rPr>
            </w:pPr>
            <w:r>
              <w:rPr>
                <w:rFonts w:cstheme="minorBidi"/>
              </w:rPr>
              <w:t>Washington, D.C. 20036</w:t>
            </w:r>
          </w:p>
          <w:p w14:paraId="3B89DF0A" w14:textId="77777777" w:rsidR="00504533" w:rsidRDefault="00504533" w:rsidP="00310859">
            <w:pPr>
              <w:keepNext/>
              <w:keepLines/>
              <w:tabs>
                <w:tab w:val="left" w:pos="2880"/>
              </w:tabs>
              <w:spacing w:line="280" w:lineRule="exact"/>
              <w:ind w:left="-105" w:firstLine="0"/>
              <w:contextualSpacing/>
              <w:jc w:val="left"/>
              <w:rPr>
                <w:rFonts w:cstheme="minorBidi"/>
                <w:smallCaps/>
              </w:rPr>
            </w:pPr>
            <w:r>
              <w:rPr>
                <w:rFonts w:cstheme="minorBidi"/>
              </w:rPr>
              <w:t>(202) 220-9600</w:t>
            </w:r>
          </w:p>
          <w:p w14:paraId="333E5894" w14:textId="77777777" w:rsidR="00504533" w:rsidRDefault="00504533" w:rsidP="00310859">
            <w:pPr>
              <w:keepNext/>
              <w:keepLines/>
              <w:tabs>
                <w:tab w:val="left" w:pos="2880"/>
              </w:tabs>
              <w:spacing w:line="280" w:lineRule="exact"/>
              <w:ind w:left="-105" w:firstLine="0"/>
              <w:contextualSpacing/>
              <w:jc w:val="left"/>
              <w:rPr>
                <w:rFonts w:cstheme="minorBidi"/>
              </w:rPr>
            </w:pPr>
            <w:r>
              <w:rPr>
                <w:rFonts w:cstheme="minorBidi"/>
              </w:rPr>
              <w:t>dthompson@cooperkirk.com</w:t>
            </w:r>
          </w:p>
          <w:p w14:paraId="79D8E65A" w14:textId="77777777" w:rsidR="00504533" w:rsidRDefault="00504533" w:rsidP="00310859">
            <w:pPr>
              <w:keepNext/>
              <w:keepLines/>
              <w:tabs>
                <w:tab w:val="left" w:pos="2880"/>
              </w:tabs>
              <w:spacing w:line="280" w:lineRule="exact"/>
              <w:ind w:left="-105" w:firstLine="0"/>
              <w:contextualSpacing/>
              <w:jc w:val="left"/>
              <w:rPr>
                <w:rFonts w:cstheme="minorBidi"/>
                <w:color w:val="0563C1" w:themeColor="hyperlink"/>
                <w:u w:val="single"/>
              </w:rPr>
            </w:pPr>
          </w:p>
          <w:p w14:paraId="1109FA91" w14:textId="77777777" w:rsidR="00504533" w:rsidRDefault="00504533" w:rsidP="00310859">
            <w:pPr>
              <w:keepNext/>
              <w:keepLines/>
              <w:tabs>
                <w:tab w:val="left" w:pos="2880"/>
              </w:tabs>
              <w:spacing w:line="280" w:lineRule="exact"/>
              <w:ind w:left="-105" w:firstLine="0"/>
              <w:contextualSpacing/>
              <w:jc w:val="left"/>
              <w:rPr>
                <w:rFonts w:cstheme="minorBidi"/>
                <w:color w:val="0563C1" w:themeColor="hyperlink"/>
                <w:u w:val="single"/>
              </w:rPr>
            </w:pPr>
            <w:r>
              <w:rPr>
                <w:rFonts w:eastAsia="Times New Roman"/>
                <w:i/>
              </w:rPr>
              <w:t>Counsel for Amici Curiae</w:t>
            </w:r>
          </w:p>
          <w:p w14:paraId="46DE477F" w14:textId="77777777" w:rsidR="00504533" w:rsidRDefault="00504533" w:rsidP="00310859">
            <w:pPr>
              <w:keepNext/>
              <w:keepLines/>
              <w:tabs>
                <w:tab w:val="left" w:pos="2880"/>
              </w:tabs>
              <w:spacing w:line="280" w:lineRule="exact"/>
              <w:ind w:left="-105" w:firstLine="0"/>
              <w:contextualSpacing/>
              <w:jc w:val="left"/>
              <w:rPr>
                <w:rFonts w:cstheme="minorBidi"/>
                <w:smallCaps/>
              </w:rPr>
            </w:pPr>
          </w:p>
        </w:tc>
      </w:tr>
    </w:tbl>
    <w:p w14:paraId="4B6DC16E" w14:textId="77777777" w:rsidR="00504533" w:rsidRDefault="00504533" w:rsidP="00504533"/>
    <w:p w14:paraId="6A86AA2A" w14:textId="5091C621" w:rsidR="00940FAC" w:rsidRDefault="00940FAC" w:rsidP="00940FAC"/>
    <w:p w14:paraId="07FA8AD3" w14:textId="53B2485E" w:rsidR="00940FAC" w:rsidRPr="00940FAC" w:rsidRDefault="00940FAC" w:rsidP="00940FAC"/>
    <w:sectPr w:rsidR="00940FAC" w:rsidRPr="00940FAC" w:rsidSect="00F73E36">
      <w:headerReference w:type="default" r:id="rId12"/>
      <w:footnotePr>
        <w:numRestart w:val="eachSect"/>
      </w:footnotePr>
      <w:pgSz w:w="12240" w:h="15840"/>
      <w:pgMar w:top="2794" w:right="3154" w:bottom="2794" w:left="315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D1A9" w14:textId="77777777" w:rsidR="00277C38" w:rsidRDefault="00277C38" w:rsidP="00C3480B">
      <w:r>
        <w:separator/>
      </w:r>
    </w:p>
    <w:p w14:paraId="7F61112A" w14:textId="77777777" w:rsidR="00277C38" w:rsidRDefault="00277C38" w:rsidP="00C3480B"/>
  </w:endnote>
  <w:endnote w:type="continuationSeparator" w:id="0">
    <w:p w14:paraId="28EC654A" w14:textId="77777777" w:rsidR="00277C38" w:rsidRDefault="00277C38" w:rsidP="00C3480B">
      <w:r>
        <w:continuationSeparator/>
      </w:r>
    </w:p>
    <w:p w14:paraId="0FF6961C" w14:textId="77777777" w:rsidR="00277C38" w:rsidRDefault="00277C38" w:rsidP="00C3480B"/>
  </w:endnote>
  <w:endnote w:type="continuationNotice" w:id="1">
    <w:p w14:paraId="7543FF12" w14:textId="77777777" w:rsidR="00277C38" w:rsidRDefault="00277C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9E45" w14:textId="77777777" w:rsidR="00277C38" w:rsidRDefault="00277C38" w:rsidP="00FC5D1C">
      <w:pPr>
        <w:spacing w:after="0"/>
        <w:ind w:firstLine="360"/>
      </w:pPr>
      <w:r>
        <w:separator/>
      </w:r>
    </w:p>
  </w:footnote>
  <w:footnote w:type="continuationSeparator" w:id="0">
    <w:p w14:paraId="3A88B068" w14:textId="77777777" w:rsidR="00277C38" w:rsidRDefault="00277C38" w:rsidP="00C3480B">
      <w:r>
        <w:continuationSeparator/>
      </w:r>
    </w:p>
    <w:p w14:paraId="28E4513C" w14:textId="77777777" w:rsidR="00277C38" w:rsidRDefault="00277C38" w:rsidP="00C3480B"/>
  </w:footnote>
  <w:footnote w:type="continuationNotice" w:id="1">
    <w:p w14:paraId="498D98B5" w14:textId="77777777" w:rsidR="00277C38" w:rsidRDefault="00277C38">
      <w:pPr>
        <w:spacing w:after="0"/>
      </w:pPr>
    </w:p>
  </w:footnote>
  <w:footnote w:id="2">
    <w:p w14:paraId="5FB787B0" w14:textId="5E159DB4" w:rsidR="00D2696D" w:rsidRPr="001C5504" w:rsidRDefault="00D2696D">
      <w:pPr>
        <w:pStyle w:val="FootnoteText"/>
      </w:pPr>
      <w:r w:rsidRPr="001C5504">
        <w:rPr>
          <w:rStyle w:val="FootnoteReference"/>
        </w:rPr>
        <w:footnoteRef/>
      </w:r>
      <w:r w:rsidRPr="001C5504">
        <w:t xml:space="preserve"> Pursuant to </w:t>
      </w:r>
      <w:r w:rsidRPr="001C5504">
        <w:rPr>
          <w:smallCaps/>
        </w:rPr>
        <w:t xml:space="preserve">Sup. Ct. R. </w:t>
      </w:r>
      <w:r w:rsidRPr="001C5504">
        <w:t xml:space="preserve">37.3(a), amici certify that all parties have consented to the filing of this brief. Pursuant to </w:t>
      </w:r>
      <w:r w:rsidRPr="001C5504">
        <w:rPr>
          <w:smallCaps/>
        </w:rPr>
        <w:t>Sup. Ct. R</w:t>
      </w:r>
      <w:r w:rsidRPr="001C5504">
        <w:t>. 37.6, amici certify that no counsel for any party authored this brief in whole or in part, no party or party’s counsel made a monetary contribution to fund its preparation or submission, and no person other than amici or their counsel made such a monetary contribution.</w:t>
      </w:r>
    </w:p>
  </w:footnote>
  <w:footnote w:id="3">
    <w:p w14:paraId="0E109E56" w14:textId="4C7193F7" w:rsidR="007B0491" w:rsidRDefault="007B0491">
      <w:pPr>
        <w:pStyle w:val="FootnoteText"/>
      </w:pPr>
      <w:r>
        <w:rPr>
          <w:rStyle w:val="FootnoteReference"/>
        </w:rPr>
        <w:footnoteRef/>
      </w:r>
      <w:r>
        <w:t xml:space="preserve"> While this case involves the application of the Second Amendment to State restrictions via the Fourteenth Amendment, the relevant period for determining the original meaning of the right to keep and bear arms is the Founding, given this Court’s settled rule </w:t>
      </w:r>
      <w:r w:rsidR="0070364B">
        <w:t>“</w:t>
      </w:r>
      <w:r w:rsidRPr="00463EE6">
        <w:t>that incorporated provisions of the Bill of Rights bear the same content when asserted against States as they do when asserted against the federal government.</w:t>
      </w:r>
      <w:r>
        <w:t xml:space="preserve">” </w:t>
      </w:r>
      <w:r w:rsidRPr="00463EE6">
        <w:rPr>
          <w:i/>
          <w:iCs/>
        </w:rPr>
        <w:t>Ramos v. Louisiana</w:t>
      </w:r>
      <w:r w:rsidRPr="00463EE6">
        <w:t xml:space="preserve">, </w:t>
      </w:r>
      <w:r>
        <w:t xml:space="preserve">590 U.S. ___, </w:t>
      </w:r>
      <w:r w:rsidRPr="00463EE6">
        <w:t>140 S. Ct. 1390, 1397 (2020)</w:t>
      </w:r>
      <w:r>
        <w:t>.</w:t>
      </w:r>
    </w:p>
  </w:footnote>
  <w:footnote w:id="4">
    <w:p w14:paraId="0B41620F" w14:textId="2CD02692" w:rsidR="00392CA4" w:rsidRPr="001C5504" w:rsidRDefault="00392CA4">
      <w:pPr>
        <w:pStyle w:val="FootnoteText"/>
      </w:pPr>
      <w:r w:rsidRPr="001C5504">
        <w:rPr>
          <w:rStyle w:val="FootnoteReference"/>
        </w:rPr>
        <w:footnoteRef/>
      </w:r>
      <w:r w:rsidRPr="001C5504">
        <w:t xml:space="preserve"> 1686 N.J. 289, 289-90, </w:t>
      </w:r>
      <w:proofErr w:type="spellStart"/>
      <w:r w:rsidRPr="001C5504">
        <w:t>ch.</w:t>
      </w:r>
      <w:proofErr w:type="spellEnd"/>
      <w:r w:rsidRPr="001C5504">
        <w:t xml:space="preserve"> 9.</w:t>
      </w:r>
    </w:p>
  </w:footnote>
  <w:footnote w:id="5">
    <w:p w14:paraId="0624EECC" w14:textId="6013B52B" w:rsidR="004A7559" w:rsidRPr="001C5504" w:rsidRDefault="004A7559">
      <w:pPr>
        <w:pStyle w:val="FootnoteText"/>
      </w:pPr>
      <w:r w:rsidRPr="001C5504">
        <w:rPr>
          <w:rStyle w:val="FootnoteReference"/>
        </w:rPr>
        <w:footnoteRef/>
      </w:r>
      <w:r w:rsidRPr="001C5504">
        <w:t xml:space="preserve"> 1694 Mass. Laws 12, no. 6.</w:t>
      </w:r>
      <w:r w:rsidR="006A34C4">
        <w:t xml:space="preserve"> Massachusetts enacted a revised version of the statute in 1795. 1795 Mass. Laws 436, </w:t>
      </w:r>
      <w:proofErr w:type="spellStart"/>
      <w:r w:rsidR="006A34C4">
        <w:t>ch</w:t>
      </w:r>
      <w:proofErr w:type="spellEnd"/>
      <w:r w:rsidR="006A34C4">
        <w:t xml:space="preserve"> 2.</w:t>
      </w:r>
    </w:p>
  </w:footnote>
  <w:footnote w:id="6">
    <w:p w14:paraId="29E7503E" w14:textId="5E511EA4" w:rsidR="004A7559" w:rsidRPr="001C5504" w:rsidRDefault="004A7559">
      <w:pPr>
        <w:pStyle w:val="FootnoteText"/>
      </w:pPr>
      <w:r w:rsidRPr="001C5504">
        <w:rPr>
          <w:rStyle w:val="FootnoteReference"/>
        </w:rPr>
        <w:footnoteRef/>
      </w:r>
      <w:r w:rsidRPr="001C5504">
        <w:t xml:space="preserve"> 1699 N.H. Laws 1.</w:t>
      </w:r>
    </w:p>
  </w:footnote>
  <w:footnote w:id="7">
    <w:p w14:paraId="5A2FB0BB" w14:textId="4E287AAB" w:rsidR="004A7559" w:rsidRPr="001C5504" w:rsidRDefault="004A7559">
      <w:pPr>
        <w:pStyle w:val="FootnoteText"/>
      </w:pPr>
      <w:r w:rsidRPr="001C5504">
        <w:rPr>
          <w:rStyle w:val="FootnoteReference"/>
        </w:rPr>
        <w:footnoteRef/>
      </w:r>
      <w:r w:rsidRPr="001C5504">
        <w:t xml:space="preserve"> 2 Edw. 3, 258, c. 3 (1328).</w:t>
      </w:r>
    </w:p>
  </w:footnote>
  <w:footnote w:id="8">
    <w:p w14:paraId="76B55136" w14:textId="6BC2E400" w:rsidR="00C042AE" w:rsidRPr="001C5504" w:rsidRDefault="00C042AE">
      <w:pPr>
        <w:pStyle w:val="FootnoteText"/>
      </w:pPr>
      <w:r w:rsidRPr="001C5504">
        <w:rPr>
          <w:rStyle w:val="FootnoteReference"/>
        </w:rPr>
        <w:footnoteRef/>
      </w:r>
      <w:r w:rsidRPr="001C5504">
        <w:t xml:space="preserve"> 1694 Mass. Laws 12, no. 6; 1699 N.H. Laws 1.</w:t>
      </w:r>
    </w:p>
  </w:footnote>
  <w:footnote w:id="9">
    <w:p w14:paraId="6F6663BC" w14:textId="23DA867D" w:rsidR="00CE72CF" w:rsidRPr="001C5504" w:rsidRDefault="00CE72CF">
      <w:pPr>
        <w:pStyle w:val="FootnoteText"/>
      </w:pPr>
      <w:r w:rsidRPr="001C5504">
        <w:rPr>
          <w:rStyle w:val="FootnoteReference"/>
        </w:rPr>
        <w:footnoteRef/>
      </w:r>
      <w:r w:rsidRPr="001C5504">
        <w:t xml:space="preserve"> 1786 Va. Laws 33, </w:t>
      </w:r>
      <w:proofErr w:type="spellStart"/>
      <w:r w:rsidRPr="001C5504">
        <w:t>ch.</w:t>
      </w:r>
      <w:proofErr w:type="spellEnd"/>
      <w:r w:rsidRPr="001C5504">
        <w:t xml:space="preserve"> 21.</w:t>
      </w:r>
    </w:p>
  </w:footnote>
  <w:footnote w:id="10">
    <w:p w14:paraId="40A738AD" w14:textId="5817F2EF" w:rsidR="00A966A1" w:rsidRPr="001C5504" w:rsidRDefault="00A966A1">
      <w:pPr>
        <w:pStyle w:val="FootnoteText"/>
      </w:pPr>
      <w:r w:rsidRPr="001C5504">
        <w:rPr>
          <w:rStyle w:val="FootnoteReference"/>
        </w:rPr>
        <w:footnoteRef/>
      </w:r>
      <w:r w:rsidRPr="001C5504">
        <w:t xml:space="preserve"> </w:t>
      </w:r>
      <w:r w:rsidRPr="001C5504">
        <w:rPr>
          <w:i/>
          <w:iCs/>
        </w:rPr>
        <w:t xml:space="preserve">See </w:t>
      </w:r>
      <w:r w:rsidRPr="001C5504">
        <w:t xml:space="preserve">1801 Tenn. Laws 710, § 6; 1821 Me. Laws 285, </w:t>
      </w:r>
      <w:proofErr w:type="spellStart"/>
      <w:r w:rsidRPr="001C5504">
        <w:t>ch.</w:t>
      </w:r>
      <w:proofErr w:type="spellEnd"/>
      <w:r w:rsidRPr="001C5504">
        <w:t xml:space="preserve"> 76, § 1.</w:t>
      </w:r>
    </w:p>
  </w:footnote>
  <w:footnote w:id="11">
    <w:p w14:paraId="4C228144" w14:textId="20AD7E2A" w:rsidR="007F2D64" w:rsidRPr="001C5504" w:rsidRDefault="007F2D64" w:rsidP="007C2E90">
      <w:pPr>
        <w:pStyle w:val="FootnoteText"/>
      </w:pPr>
      <w:r w:rsidRPr="001C5504">
        <w:rPr>
          <w:rStyle w:val="FootnoteReference"/>
        </w:rPr>
        <w:footnoteRef/>
      </w:r>
      <w:r w:rsidRPr="001C5504">
        <w:t xml:space="preserve"> </w:t>
      </w:r>
      <w:r w:rsidRPr="001C5504">
        <w:rPr>
          <w:smallCaps/>
        </w:rPr>
        <w:t xml:space="preserve">Bernard </w:t>
      </w:r>
      <w:proofErr w:type="spellStart"/>
      <w:r w:rsidRPr="001C5504">
        <w:rPr>
          <w:smallCaps/>
        </w:rPr>
        <w:t>Bailyn</w:t>
      </w:r>
      <w:proofErr w:type="spellEnd"/>
      <w:r w:rsidRPr="001C5504">
        <w:rPr>
          <w:smallCaps/>
        </w:rPr>
        <w:t>, The Barbarous Years</w:t>
      </w:r>
      <w:r w:rsidRPr="001C5504">
        <w:rPr>
          <w:i/>
          <w:iCs/>
        </w:rPr>
        <w:t xml:space="preserve"> </w:t>
      </w:r>
      <w:r w:rsidRPr="001C5504">
        <w:t>101</w:t>
      </w:r>
      <w:r w:rsidR="006E1614">
        <w:t>-</w:t>
      </w:r>
      <w:r w:rsidRPr="001C5504">
        <w:t>02 (2012).</w:t>
      </w:r>
    </w:p>
  </w:footnote>
  <w:footnote w:id="12">
    <w:p w14:paraId="5069A315" w14:textId="46FE0D0B" w:rsidR="007F2D64" w:rsidRPr="001C5504" w:rsidRDefault="007F2D64" w:rsidP="007C2E90">
      <w:pPr>
        <w:pStyle w:val="FootnoteText"/>
      </w:pPr>
      <w:r w:rsidRPr="001C5504">
        <w:rPr>
          <w:rStyle w:val="FootnoteReference"/>
        </w:rPr>
        <w:footnoteRef/>
      </w:r>
      <w:r w:rsidRPr="001C5504">
        <w:t xml:space="preserve"> </w:t>
      </w:r>
      <w:r w:rsidRPr="001C5504">
        <w:rPr>
          <w:smallCaps/>
          <w:lang w:val="en-CA"/>
        </w:rPr>
        <w:fldChar w:fldCharType="begin"/>
      </w:r>
      <w:r w:rsidRPr="001C5504">
        <w:rPr>
          <w:smallCaps/>
          <w:lang w:val="en-CA"/>
        </w:rPr>
        <w:instrText xml:space="preserve"> SEQ CHAPTER \h \r 1</w:instrText>
      </w:r>
      <w:r w:rsidRPr="001C5504">
        <w:rPr>
          <w:smallCaps/>
          <w:lang w:val="en-CA"/>
        </w:rPr>
        <w:fldChar w:fldCharType="end"/>
      </w:r>
      <w:bookmarkStart w:id="13" w:name="_Hlk75792128"/>
      <w:r w:rsidRPr="001C5504">
        <w:rPr>
          <w:smallCaps/>
        </w:rPr>
        <w:t>The Revolutionary War: A Concise Military History of America’s War for Independence</w:t>
      </w:r>
      <w:r w:rsidRPr="001C5504">
        <w:rPr>
          <w:i/>
          <w:iCs/>
        </w:rPr>
        <w:t xml:space="preserve"> </w:t>
      </w:r>
      <w:r w:rsidRPr="001C5504">
        <w:t>16-17 (</w:t>
      </w:r>
      <w:r w:rsidR="00B76D98" w:rsidRPr="001C5504">
        <w:t xml:space="preserve">Maurice </w:t>
      </w:r>
      <w:proofErr w:type="spellStart"/>
      <w:r w:rsidR="00B76D98" w:rsidRPr="001C5504">
        <w:t>Matloff</w:t>
      </w:r>
      <w:proofErr w:type="spellEnd"/>
      <w:r w:rsidR="00B76D98" w:rsidRPr="001C5504">
        <w:t xml:space="preserve"> ed.,</w:t>
      </w:r>
      <w:r w:rsidRPr="001C5504">
        <w:t>1980)</w:t>
      </w:r>
      <w:bookmarkEnd w:id="13"/>
      <w:r w:rsidRPr="001C5504">
        <w:t>.</w:t>
      </w:r>
    </w:p>
  </w:footnote>
  <w:footnote w:id="13">
    <w:p w14:paraId="4F7B9787" w14:textId="10EA7BA5" w:rsidR="00B76D98" w:rsidRPr="001C5504" w:rsidRDefault="00B76D98">
      <w:pPr>
        <w:pStyle w:val="FootnoteText"/>
      </w:pPr>
      <w:r w:rsidRPr="001C5504">
        <w:rPr>
          <w:rStyle w:val="FootnoteReference"/>
        </w:rPr>
        <w:footnoteRef/>
      </w:r>
      <w:r w:rsidRPr="001C5504">
        <w:t xml:space="preserve"> </w:t>
      </w:r>
      <w:r w:rsidRPr="001C5504">
        <w:rPr>
          <w:smallCaps/>
        </w:rPr>
        <w:t>Noah Feldman, The Three Lives of James Madison</w:t>
      </w:r>
      <w:r w:rsidRPr="001C5504">
        <w:t xml:space="preserve"> 15 (2017).</w:t>
      </w:r>
    </w:p>
  </w:footnote>
  <w:footnote w:id="14">
    <w:p w14:paraId="2D70A525" w14:textId="129D875B" w:rsidR="007F2D64" w:rsidRPr="001C5504" w:rsidRDefault="007F2D64" w:rsidP="007C2E90">
      <w:pPr>
        <w:pStyle w:val="FootnoteText"/>
      </w:pPr>
      <w:r w:rsidRPr="001C5504">
        <w:rPr>
          <w:rStyle w:val="FootnoteReference"/>
        </w:rPr>
        <w:footnoteRef/>
      </w:r>
      <w:r w:rsidRPr="001C5504">
        <w:t xml:space="preserve"> </w:t>
      </w:r>
      <w:r w:rsidRPr="001C5504">
        <w:rPr>
          <w:lang w:val="en-CA"/>
        </w:rPr>
        <w:fldChar w:fldCharType="begin"/>
      </w:r>
      <w:r w:rsidRPr="001C5504">
        <w:rPr>
          <w:lang w:val="en-CA"/>
        </w:rPr>
        <w:instrText xml:space="preserve"> SEQ CHAPTER \h \r 1</w:instrText>
      </w:r>
      <w:r w:rsidRPr="001C5504">
        <w:rPr>
          <w:lang w:val="en-CA"/>
        </w:rPr>
        <w:fldChar w:fldCharType="end"/>
      </w:r>
      <w:r w:rsidRPr="001C5504">
        <w:t xml:space="preserve">John Adams, </w:t>
      </w:r>
      <w:r w:rsidRPr="001C5504">
        <w:rPr>
          <w:i/>
          <w:iCs/>
        </w:rPr>
        <w:t>To the Inhabitants of the Colony of Massachusetts-Bay</w:t>
      </w:r>
      <w:r w:rsidR="00223551">
        <w:t xml:space="preserve">, </w:t>
      </w:r>
      <w:proofErr w:type="spellStart"/>
      <w:r w:rsidR="00223551" w:rsidRPr="006E1614">
        <w:rPr>
          <w:smallCaps/>
        </w:rPr>
        <w:t>Nat’l</w:t>
      </w:r>
      <w:proofErr w:type="spellEnd"/>
      <w:r w:rsidR="00223551" w:rsidRPr="006E1614">
        <w:rPr>
          <w:smallCaps/>
        </w:rPr>
        <w:t xml:space="preserve"> Archives</w:t>
      </w:r>
      <w:r w:rsidR="00223551">
        <w:rPr>
          <w:smallCaps/>
        </w:rPr>
        <w:t xml:space="preserve"> Founders Online</w:t>
      </w:r>
      <w:r w:rsidRPr="001C5504">
        <w:t xml:space="preserve"> (Feb. 6, 1775)</w:t>
      </w:r>
      <w:r w:rsidR="00B76D98" w:rsidRPr="001C5504">
        <w:t>,</w:t>
      </w:r>
      <w:r w:rsidRPr="001C5504">
        <w:t xml:space="preserve"> </w:t>
      </w:r>
      <w:r w:rsidR="00223551" w:rsidRPr="00223551">
        <w:t>https://bit.ly/2SwaXi4</w:t>
      </w:r>
      <w:r w:rsidRPr="001C5504">
        <w:t>.</w:t>
      </w:r>
    </w:p>
  </w:footnote>
  <w:footnote w:id="15">
    <w:p w14:paraId="5DE4A708" w14:textId="405E7B9C" w:rsidR="007C2E90" w:rsidRPr="001C5504" w:rsidRDefault="007C2E90">
      <w:pPr>
        <w:pStyle w:val="FootnoteText"/>
      </w:pPr>
      <w:r w:rsidRPr="001C5504">
        <w:rPr>
          <w:rStyle w:val="FootnoteReference"/>
        </w:rPr>
        <w:footnoteRef/>
      </w:r>
      <w:r w:rsidRPr="001C5504">
        <w:t xml:space="preserve"> </w:t>
      </w:r>
      <w:r w:rsidRPr="001C5504">
        <w:rPr>
          <w:smallCaps/>
        </w:rPr>
        <w:t>Samuel Walker &amp; Charles M. Katz, The Police in America</w:t>
      </w:r>
      <w:r w:rsidRPr="001C5504">
        <w:t xml:space="preserve"> 29 (201</w:t>
      </w:r>
      <w:r w:rsidR="00223551">
        <w:t>2</w:t>
      </w:r>
      <w:r w:rsidRPr="001C5504">
        <w:t>).</w:t>
      </w:r>
    </w:p>
  </w:footnote>
  <w:footnote w:id="16">
    <w:p w14:paraId="733F25DE" w14:textId="77B3931B" w:rsidR="00B01E9B" w:rsidRPr="001C5504" w:rsidRDefault="00B01E9B" w:rsidP="001C5504">
      <w:pPr>
        <w:pStyle w:val="FootnoteText"/>
      </w:pPr>
      <w:r w:rsidRPr="001C5504">
        <w:rPr>
          <w:rStyle w:val="FootnoteReference"/>
        </w:rPr>
        <w:footnoteRef/>
      </w:r>
      <w:r w:rsidRPr="001C5504">
        <w:t xml:space="preserve"> </w:t>
      </w:r>
      <w:r w:rsidRPr="001C5504">
        <w:rPr>
          <w:smallCaps/>
        </w:rPr>
        <w:t>John W. Barber &amp; Henry Howe, Historical Collections of New Jersey</w:t>
      </w:r>
      <w:r w:rsidRPr="001C5504">
        <w:t xml:space="preserve"> 351 (1868).</w:t>
      </w:r>
    </w:p>
  </w:footnote>
  <w:footnote w:id="17">
    <w:p w14:paraId="7B00C8FC" w14:textId="5AE73B9C" w:rsidR="00B01E9B" w:rsidRPr="001C5504" w:rsidRDefault="00B01E9B" w:rsidP="001C5504">
      <w:pPr>
        <w:pStyle w:val="FootnoteText"/>
        <w:rPr>
          <w:i/>
          <w:iCs/>
        </w:rPr>
      </w:pPr>
      <w:r w:rsidRPr="001C5504">
        <w:rPr>
          <w:rStyle w:val="FootnoteReference"/>
        </w:rPr>
        <w:footnoteRef/>
      </w:r>
      <w:r w:rsidRPr="001C5504">
        <w:t xml:space="preserve"> </w:t>
      </w:r>
      <w:r w:rsidRPr="001C5504">
        <w:rPr>
          <w:i/>
          <w:iCs/>
        </w:rPr>
        <w:t>Id.</w:t>
      </w:r>
    </w:p>
  </w:footnote>
  <w:footnote w:id="18">
    <w:p w14:paraId="735B7941" w14:textId="76E4D2F4" w:rsidR="001C5504" w:rsidRPr="001C5504" w:rsidRDefault="001C5504" w:rsidP="001C5504">
      <w:pPr>
        <w:pStyle w:val="FootnoteText"/>
      </w:pPr>
      <w:r w:rsidRPr="001C5504">
        <w:rPr>
          <w:rStyle w:val="FootnoteReference"/>
        </w:rPr>
        <w:footnoteRef/>
      </w:r>
      <w:r w:rsidRPr="001C5504">
        <w:t xml:space="preserve"> </w:t>
      </w:r>
      <w:r w:rsidR="00735C96">
        <w:t xml:space="preserve">2 </w:t>
      </w:r>
      <w:r w:rsidRPr="001C5504">
        <w:rPr>
          <w:smallCaps/>
        </w:rPr>
        <w:t>Violence in America</w:t>
      </w:r>
      <w:r w:rsidRPr="001C5504">
        <w:t xml:space="preserve"> </w:t>
      </w:r>
      <w:r w:rsidR="006C011E">
        <w:t>34</w:t>
      </w:r>
      <w:r w:rsidRPr="001C5504">
        <w:t xml:space="preserve"> (Ted R. </w:t>
      </w:r>
      <w:proofErr w:type="spellStart"/>
      <w:r w:rsidRPr="001C5504">
        <w:t>Gurr</w:t>
      </w:r>
      <w:proofErr w:type="spellEnd"/>
      <w:r w:rsidRPr="001C5504">
        <w:t xml:space="preserve"> ed., 19</w:t>
      </w:r>
      <w:r w:rsidR="006C011E">
        <w:t>8</w:t>
      </w:r>
      <w:r w:rsidRPr="001C5504">
        <w:t>9)</w:t>
      </w:r>
    </w:p>
  </w:footnote>
  <w:footnote w:id="19">
    <w:p w14:paraId="0924D343" w14:textId="4B6DF4A2" w:rsidR="001C5504" w:rsidRDefault="001C5504">
      <w:pPr>
        <w:pStyle w:val="FootnoteText"/>
      </w:pPr>
      <w:r>
        <w:rPr>
          <w:rStyle w:val="FootnoteReference"/>
        </w:rPr>
        <w:footnoteRef/>
      </w:r>
      <w:r>
        <w:t xml:space="preserve"> Jack D. Marietta &amp; G.S. Rowe, </w:t>
      </w:r>
      <w:r>
        <w:rPr>
          <w:i/>
          <w:iCs/>
        </w:rPr>
        <w:t>Violent Crime, Victims, and Society in Pennsylvania, 1682-1800</w:t>
      </w:r>
      <w:r>
        <w:t xml:space="preserve">, 66 </w:t>
      </w:r>
      <w:r w:rsidRPr="001C5504">
        <w:rPr>
          <w:smallCaps/>
        </w:rPr>
        <w:t>Explorations in Early Am. Culture</w:t>
      </w:r>
      <w:r>
        <w:t xml:space="preserve"> 24,</w:t>
      </w:r>
      <w:r>
        <w:rPr>
          <w:i/>
          <w:iCs/>
        </w:rPr>
        <w:t xml:space="preserve"> </w:t>
      </w:r>
      <w:r>
        <w:t>26 (1999).</w:t>
      </w:r>
    </w:p>
  </w:footnote>
  <w:footnote w:id="20">
    <w:p w14:paraId="33E08273" w14:textId="4CAC1486" w:rsidR="007C2E90" w:rsidRPr="001C5504" w:rsidRDefault="007C2E90" w:rsidP="001C5504">
      <w:pPr>
        <w:pStyle w:val="FootnoteText"/>
      </w:pPr>
      <w:r w:rsidRPr="001C5504">
        <w:rPr>
          <w:rStyle w:val="FootnoteReference"/>
        </w:rPr>
        <w:footnoteRef/>
      </w:r>
      <w:r w:rsidRPr="001C5504">
        <w:t xml:space="preserve"> </w:t>
      </w:r>
      <w:r w:rsidRPr="006E1614">
        <w:rPr>
          <w:smallCaps/>
        </w:rPr>
        <w:t>Randolph Roth</w:t>
      </w:r>
      <w:r w:rsidR="00735C96" w:rsidRPr="006E1614">
        <w:rPr>
          <w:smallCaps/>
        </w:rPr>
        <w:t>,</w:t>
      </w:r>
      <w:r w:rsidRPr="006E1614">
        <w:rPr>
          <w:smallCaps/>
        </w:rPr>
        <w:t xml:space="preserve"> American Homicide</w:t>
      </w:r>
      <w:r w:rsidRPr="006E1614">
        <w:t xml:space="preserve"> 27</w:t>
      </w:r>
      <w:r w:rsidRPr="001C5504">
        <w:rPr>
          <w:i/>
          <w:iCs/>
        </w:rPr>
        <w:t xml:space="preserve">, </w:t>
      </w:r>
      <w:r w:rsidRPr="001C5504">
        <w:t>39 fig.1.3 (2009)</w:t>
      </w:r>
      <w:r w:rsidR="0026305E">
        <w:t xml:space="preserve"> (emphasis added)</w:t>
      </w:r>
      <w:r w:rsidRPr="001C5504">
        <w:t xml:space="preserve">. </w:t>
      </w:r>
    </w:p>
  </w:footnote>
  <w:footnote w:id="21">
    <w:p w14:paraId="07743B6C" w14:textId="5828AB24" w:rsidR="004317F1" w:rsidRPr="009C57DA" w:rsidRDefault="004317F1">
      <w:pPr>
        <w:pStyle w:val="FootnoteText"/>
      </w:pPr>
      <w:r>
        <w:rPr>
          <w:rStyle w:val="FootnoteReference"/>
        </w:rPr>
        <w:footnoteRef/>
      </w:r>
      <w:r>
        <w:t xml:space="preserve"> </w:t>
      </w:r>
      <w:r>
        <w:rPr>
          <w:i/>
          <w:iCs/>
        </w:rPr>
        <w:t>See, e.g.</w:t>
      </w:r>
      <w:r>
        <w:t>,</w:t>
      </w:r>
      <w:r>
        <w:rPr>
          <w:i/>
          <w:iCs/>
        </w:rPr>
        <w:t xml:space="preserve"> </w:t>
      </w:r>
      <w:r>
        <w:t xml:space="preserve">1624 Va. Laws 121, 127 §§ 24 &amp; 25 (travel and farming); 1631 Va. Laws 174, No. 51 (church); </w:t>
      </w:r>
      <w:r w:rsidRPr="009D271F">
        <w:t>1636 Mass. Laws 190</w:t>
      </w:r>
      <w:r w:rsidR="00E30C36">
        <w:t>,</w:t>
      </w:r>
      <w:r w:rsidRPr="009D271F">
        <w:t xml:space="preserve"> § 322 (travel)</w:t>
      </w:r>
      <w:r>
        <w:t xml:space="preserve">; </w:t>
      </w:r>
      <w:r w:rsidR="00A80AA5" w:rsidRPr="00612AFF">
        <w:t>1639 R.I. Laws 93, 94 (travel and public meetings)</w:t>
      </w:r>
      <w:r w:rsidR="00A80AA5">
        <w:t xml:space="preserve">; </w:t>
      </w:r>
      <w:r w:rsidR="004A28C7">
        <w:t xml:space="preserve">1641 Laws of the Colony of New Plymouth 69, 70 (church); 1 </w:t>
      </w:r>
      <w:r w:rsidR="004A28C7" w:rsidRPr="009C57DA">
        <w:rPr>
          <w:smallCaps/>
        </w:rPr>
        <w:t>Pub</w:t>
      </w:r>
      <w:r w:rsidR="00D43084">
        <w:rPr>
          <w:smallCaps/>
        </w:rPr>
        <w:t>l</w:t>
      </w:r>
      <w:r w:rsidR="004A28C7" w:rsidRPr="009C57DA">
        <w:rPr>
          <w:smallCaps/>
        </w:rPr>
        <w:t>ic Records of the Colony of Connecticut</w:t>
      </w:r>
      <w:r w:rsidR="004A28C7">
        <w:t xml:space="preserve"> 95 (185</w:t>
      </w:r>
      <w:r w:rsidR="00DB7796">
        <w:t>0</w:t>
      </w:r>
      <w:r w:rsidR="004A28C7">
        <w:t>) (church); 164</w:t>
      </w:r>
      <w:r w:rsidR="009C57DA">
        <w:t>2</w:t>
      </w:r>
      <w:r w:rsidR="004A28C7">
        <w:t xml:space="preserve"> Md. Laws 103 (</w:t>
      </w:r>
      <w:r w:rsidR="009C57DA">
        <w:t xml:space="preserve">travel and church); </w:t>
      </w:r>
      <w:r w:rsidR="009C57DA" w:rsidRPr="009D271F">
        <w:t>1740 S.C. Laws 417</w:t>
      </w:r>
      <w:r w:rsidR="009D271F">
        <w:t xml:space="preserve"> (church)</w:t>
      </w:r>
      <w:r w:rsidR="00DB7796" w:rsidRPr="009D271F">
        <w:t>;</w:t>
      </w:r>
      <w:r w:rsidR="009C57DA">
        <w:t xml:space="preserve"> </w:t>
      </w:r>
      <w:r w:rsidR="00E06EB2" w:rsidRPr="009D271F">
        <w:t>1770 Ga. Laws 137, 138 § 1 (church</w:t>
      </w:r>
      <w:r w:rsidR="00E06EB2">
        <w:t>).</w:t>
      </w:r>
    </w:p>
  </w:footnote>
  <w:footnote w:id="22">
    <w:p w14:paraId="0E412D47" w14:textId="08C51863" w:rsidR="0038773B" w:rsidRPr="001C5504" w:rsidRDefault="0038773B">
      <w:pPr>
        <w:pStyle w:val="FootnoteText"/>
      </w:pPr>
      <w:r w:rsidRPr="001C5504">
        <w:rPr>
          <w:rStyle w:val="FootnoteReference"/>
        </w:rPr>
        <w:footnoteRef/>
      </w:r>
      <w:r w:rsidRPr="001C5504">
        <w:t xml:space="preserve"> 2 Va. Stat</w:t>
      </w:r>
      <w:r w:rsidRPr="001C5504">
        <w:rPr>
          <w:smallCaps/>
        </w:rPr>
        <w:t>.</w:t>
      </w:r>
      <w:r w:rsidRPr="001C5504">
        <w:t xml:space="preserve"> 381, 386.</w:t>
      </w:r>
    </w:p>
  </w:footnote>
  <w:footnote w:id="23">
    <w:p w14:paraId="59147067" w14:textId="746E68C2" w:rsidR="0038773B" w:rsidRPr="001C5504" w:rsidRDefault="0038773B">
      <w:pPr>
        <w:pStyle w:val="FootnoteText"/>
      </w:pPr>
      <w:r w:rsidRPr="001C5504">
        <w:rPr>
          <w:rStyle w:val="FootnoteReference"/>
        </w:rPr>
        <w:footnoteRef/>
      </w:r>
      <w:r w:rsidRPr="001C5504">
        <w:t xml:space="preserve"> 1715 Md. Laws 117.</w:t>
      </w:r>
    </w:p>
  </w:footnote>
  <w:footnote w:id="24">
    <w:p w14:paraId="58C2EF4F" w14:textId="3561F62B" w:rsidR="0038773B" w:rsidRPr="001C5504" w:rsidRDefault="0038773B">
      <w:pPr>
        <w:pStyle w:val="FootnoteText"/>
      </w:pPr>
      <w:r w:rsidRPr="001C5504">
        <w:rPr>
          <w:rStyle w:val="FootnoteReference"/>
        </w:rPr>
        <w:footnoteRef/>
      </w:r>
      <w:r w:rsidRPr="001C5504">
        <w:t xml:space="preserve"> </w:t>
      </w:r>
      <w:r w:rsidRPr="001C5504">
        <w:rPr>
          <w:i/>
          <w:iCs/>
        </w:rPr>
        <w:t xml:space="preserve">See </w:t>
      </w:r>
      <w:r w:rsidRPr="001C5504">
        <w:rPr>
          <w:smallCaps/>
        </w:rPr>
        <w:t>Halbrook</w:t>
      </w:r>
      <w:r w:rsidRPr="001C5504">
        <w:t xml:space="preserve">, </w:t>
      </w:r>
      <w:r w:rsidRPr="001C5504">
        <w:rPr>
          <w:i/>
          <w:iCs/>
        </w:rPr>
        <w:t>supra</w:t>
      </w:r>
      <w:r w:rsidRPr="001C5504">
        <w:t xml:space="preserve">, at 127, 135-37, 255-61; An Act </w:t>
      </w:r>
      <w:proofErr w:type="gramStart"/>
      <w:r w:rsidRPr="001C5504">
        <w:t>For</w:t>
      </w:r>
      <w:proofErr w:type="gramEnd"/>
      <w:r w:rsidRPr="001C5504">
        <w:t xml:space="preserve"> the Trial Of Negroes, </w:t>
      </w:r>
      <w:proofErr w:type="spellStart"/>
      <w:r w:rsidRPr="001C5504">
        <w:t>ch.</w:t>
      </w:r>
      <w:proofErr w:type="spellEnd"/>
      <w:r w:rsidRPr="001C5504">
        <w:t xml:space="preserve"> 43, §</w:t>
      </w:r>
      <w:r w:rsidR="00E30C36">
        <w:t xml:space="preserve"> </w:t>
      </w:r>
      <w:r w:rsidRPr="001C5504">
        <w:t>6, 1797 Del. Laws 104.</w:t>
      </w:r>
    </w:p>
  </w:footnote>
  <w:footnote w:id="25">
    <w:p w14:paraId="154430DD" w14:textId="397990B2" w:rsidR="00414F5D" w:rsidRPr="001C5504" w:rsidRDefault="00414F5D">
      <w:pPr>
        <w:pStyle w:val="FootnoteText"/>
      </w:pPr>
      <w:r w:rsidRPr="001C5504">
        <w:rPr>
          <w:rStyle w:val="FootnoteReference"/>
        </w:rPr>
        <w:footnoteRef/>
      </w:r>
      <w:r w:rsidRPr="001C5504">
        <w:t xml:space="preserve"> 1836 Mass. Laws 748, 750, </w:t>
      </w:r>
      <w:proofErr w:type="spellStart"/>
      <w:r w:rsidRPr="001C5504">
        <w:t>ch.</w:t>
      </w:r>
      <w:proofErr w:type="spellEnd"/>
      <w:r w:rsidRPr="001C5504">
        <w:t xml:space="preserve"> 134, § 16</w:t>
      </w:r>
      <w:r w:rsidR="000D1215">
        <w:t xml:space="preserve">; </w:t>
      </w:r>
      <w:r w:rsidR="000D1215">
        <w:rPr>
          <w:i/>
          <w:iCs/>
        </w:rPr>
        <w:t xml:space="preserve">see </w:t>
      </w:r>
      <w:r w:rsidR="000D1215" w:rsidRPr="00C13E93">
        <w:rPr>
          <w:smallCaps/>
        </w:rPr>
        <w:t>Halbrook</w:t>
      </w:r>
      <w:r w:rsidR="000D1215">
        <w:t xml:space="preserve">, </w:t>
      </w:r>
      <w:r w:rsidR="000D1215">
        <w:rPr>
          <w:i/>
          <w:iCs/>
        </w:rPr>
        <w:t>supra</w:t>
      </w:r>
      <w:r w:rsidR="000D1215">
        <w:t xml:space="preserve">, at </w:t>
      </w:r>
      <w:r w:rsidR="00C13E93">
        <w:t>222-33</w:t>
      </w:r>
      <w:r w:rsidRPr="001C5504">
        <w:t>.</w:t>
      </w:r>
    </w:p>
  </w:footnote>
  <w:footnote w:id="26">
    <w:p w14:paraId="332D6AAD" w14:textId="551DDDD3" w:rsidR="00C5640B" w:rsidRPr="001C5504" w:rsidRDefault="00C5640B">
      <w:pPr>
        <w:pStyle w:val="FootnoteText"/>
      </w:pPr>
      <w:r w:rsidRPr="001C5504">
        <w:rPr>
          <w:rStyle w:val="FootnoteReference"/>
        </w:rPr>
        <w:footnoteRef/>
      </w:r>
      <w:r w:rsidRPr="001C5504">
        <w:t xml:space="preserve"> </w:t>
      </w:r>
      <w:r w:rsidRPr="001C5504">
        <w:rPr>
          <w:i/>
          <w:iCs/>
        </w:rPr>
        <w:t>See</w:t>
      </w:r>
      <w:r w:rsidRPr="001C5504">
        <w:t xml:space="preserve"> 1838 Wis. Laws 378, </w:t>
      </w:r>
      <w:r w:rsidR="0038133D" w:rsidRPr="001C5504">
        <w:t xml:space="preserve">381 </w:t>
      </w:r>
      <w:r w:rsidRPr="001C5504">
        <w:t>§ 16;</w:t>
      </w:r>
      <w:r w:rsidRPr="001C5504">
        <w:rPr>
          <w:i/>
          <w:iCs/>
        </w:rPr>
        <w:t xml:space="preserve"> </w:t>
      </w:r>
      <w:r w:rsidRPr="001C5504">
        <w:t>1841 Me. Laws 707,</w:t>
      </w:r>
      <w:r w:rsidR="0038133D" w:rsidRPr="001C5504">
        <w:t xml:space="preserve"> 709</w:t>
      </w:r>
      <w:r w:rsidRPr="001C5504">
        <w:t xml:space="preserve"> </w:t>
      </w:r>
      <w:proofErr w:type="spellStart"/>
      <w:r w:rsidRPr="001C5504">
        <w:t>ch.</w:t>
      </w:r>
      <w:proofErr w:type="spellEnd"/>
      <w:r w:rsidRPr="001C5504">
        <w:t xml:space="preserve"> 169, § 16; 1846 Mich. Laws 690</w:t>
      </w:r>
      <w:r w:rsidR="0038133D" w:rsidRPr="001C5504">
        <w:t>, 692</w:t>
      </w:r>
      <w:r w:rsidRPr="001C5504">
        <w:t xml:space="preserve"> </w:t>
      </w:r>
      <w:proofErr w:type="spellStart"/>
      <w:r w:rsidRPr="001C5504">
        <w:t>ch.</w:t>
      </w:r>
      <w:proofErr w:type="spellEnd"/>
      <w:r w:rsidRPr="001C5504">
        <w:t xml:space="preserve"> 162, § 16; 1847 Va. Laws 127, </w:t>
      </w:r>
      <w:proofErr w:type="spellStart"/>
      <w:r w:rsidRPr="001C5504">
        <w:t>ch.</w:t>
      </w:r>
      <w:proofErr w:type="spellEnd"/>
      <w:r w:rsidRPr="001C5504">
        <w:t xml:space="preserve"> 14, § 16; 1851 Minn. Laws 526, </w:t>
      </w:r>
      <w:proofErr w:type="spellStart"/>
      <w:r w:rsidRPr="001C5504">
        <w:t>ch.</w:t>
      </w:r>
      <w:proofErr w:type="spellEnd"/>
      <w:r w:rsidRPr="001C5504">
        <w:t xml:space="preserve"> 112, § 18;</w:t>
      </w:r>
      <w:r w:rsidR="009010CB" w:rsidRPr="001C5504">
        <w:t xml:space="preserve"> 1853 Or. Laws 220, </w:t>
      </w:r>
      <w:proofErr w:type="spellStart"/>
      <w:r w:rsidR="009010CB" w:rsidRPr="001C5504">
        <w:t>ch.</w:t>
      </w:r>
      <w:proofErr w:type="spellEnd"/>
      <w:r w:rsidR="009010CB" w:rsidRPr="001C5504">
        <w:t xml:space="preserve"> 16, §</w:t>
      </w:r>
      <w:r w:rsidR="00E30C36">
        <w:t xml:space="preserve"> </w:t>
      </w:r>
      <w:r w:rsidR="009010CB" w:rsidRPr="001C5504">
        <w:t>17;</w:t>
      </w:r>
      <w:r w:rsidRPr="001C5504">
        <w:t xml:space="preserve"> 1861 Pa. Laws 248,</w:t>
      </w:r>
      <w:r w:rsidR="0038133D" w:rsidRPr="001C5504">
        <w:t xml:space="preserve"> 250</w:t>
      </w:r>
      <w:r w:rsidRPr="001C5504">
        <w:t xml:space="preserve"> § 6.</w:t>
      </w:r>
    </w:p>
  </w:footnote>
  <w:footnote w:id="27">
    <w:p w14:paraId="5137CB4C" w14:textId="42EA68FF" w:rsidR="006640EA" w:rsidRPr="001C5504" w:rsidRDefault="006640EA">
      <w:pPr>
        <w:pStyle w:val="FootnoteText"/>
      </w:pPr>
      <w:r w:rsidRPr="001C5504">
        <w:rPr>
          <w:rStyle w:val="FootnoteReference"/>
        </w:rPr>
        <w:footnoteRef/>
      </w:r>
      <w:r w:rsidRPr="001C5504">
        <w:t xml:space="preserve"> 1836 Mass. Laws 750, § 16.</w:t>
      </w:r>
    </w:p>
  </w:footnote>
  <w:footnote w:id="28">
    <w:p w14:paraId="1B67BA16" w14:textId="233547FE" w:rsidR="006640EA" w:rsidRPr="001C5504" w:rsidRDefault="006640EA">
      <w:pPr>
        <w:pStyle w:val="FootnoteText"/>
      </w:pPr>
      <w:r w:rsidRPr="001C5504">
        <w:rPr>
          <w:rStyle w:val="FootnoteReference"/>
        </w:rPr>
        <w:footnoteRef/>
      </w:r>
      <w:r w:rsidRPr="001C5504">
        <w:t xml:space="preserve"> </w:t>
      </w:r>
      <w:r w:rsidRPr="001C5504">
        <w:rPr>
          <w:i/>
          <w:iCs/>
        </w:rPr>
        <w:t xml:space="preserve">Id. </w:t>
      </w:r>
      <w:r w:rsidRPr="001C5504">
        <w:t>at 749-50, §§ 4, 9, 16.</w:t>
      </w:r>
    </w:p>
  </w:footnote>
  <w:footnote w:id="29">
    <w:p w14:paraId="7C27A6C0" w14:textId="523B1B2A" w:rsidR="006640EA" w:rsidRPr="001C5504" w:rsidRDefault="006640EA">
      <w:pPr>
        <w:pStyle w:val="FootnoteText"/>
      </w:pPr>
      <w:r w:rsidRPr="001C5504">
        <w:rPr>
          <w:rStyle w:val="FootnoteReference"/>
        </w:rPr>
        <w:footnoteRef/>
      </w:r>
      <w:r w:rsidRPr="001C5504">
        <w:t xml:space="preserve"> </w:t>
      </w:r>
      <w:r w:rsidRPr="001C5504">
        <w:rPr>
          <w:i/>
        </w:rPr>
        <w:t xml:space="preserve">Id. </w:t>
      </w:r>
      <w:r w:rsidRPr="001C5504">
        <w:rPr>
          <w:iCs/>
        </w:rPr>
        <w:t>at 750, § 16.</w:t>
      </w:r>
    </w:p>
  </w:footnote>
  <w:footnote w:id="30">
    <w:p w14:paraId="6F3C298A" w14:textId="70BA6B4D" w:rsidR="00DC5536" w:rsidRPr="001C5504" w:rsidRDefault="00DC5536">
      <w:pPr>
        <w:pStyle w:val="FootnoteText"/>
      </w:pPr>
      <w:r w:rsidRPr="001C5504">
        <w:rPr>
          <w:rStyle w:val="FootnoteReference"/>
        </w:rPr>
        <w:footnoteRef/>
      </w:r>
      <w:r w:rsidRPr="001C5504">
        <w:t xml:space="preserve"> 1836 Mass. Laws 750, § 16</w:t>
      </w:r>
      <w:r w:rsidR="00C26E94" w:rsidRPr="001C5504">
        <w:t>.</w:t>
      </w:r>
    </w:p>
  </w:footnote>
  <w:footnote w:id="31">
    <w:p w14:paraId="303E94B5" w14:textId="263EA8A4" w:rsidR="00986CC3" w:rsidRPr="001C5504" w:rsidRDefault="00986CC3">
      <w:pPr>
        <w:pStyle w:val="FootnoteText"/>
      </w:pPr>
      <w:r w:rsidRPr="001C5504">
        <w:rPr>
          <w:rStyle w:val="FootnoteReference"/>
        </w:rPr>
        <w:footnoteRef/>
      </w:r>
      <w:r w:rsidRPr="001C5504">
        <w:t xml:space="preserve"> </w:t>
      </w:r>
      <w:r w:rsidRPr="001C5504">
        <w:rPr>
          <w:i/>
          <w:iCs/>
        </w:rPr>
        <w:t xml:space="preserve">Compare </w:t>
      </w:r>
      <w:r w:rsidRPr="001C5504">
        <w:t xml:space="preserve">1786 Va. Laws 33, </w:t>
      </w:r>
      <w:proofErr w:type="spellStart"/>
      <w:r w:rsidRPr="001C5504">
        <w:t>ch.</w:t>
      </w:r>
      <w:proofErr w:type="spellEnd"/>
      <w:r w:rsidRPr="001C5504">
        <w:t xml:space="preserve"> 21, 1795 Mass. Laws 436, </w:t>
      </w:r>
      <w:proofErr w:type="spellStart"/>
      <w:r w:rsidRPr="001C5504">
        <w:t>ch.</w:t>
      </w:r>
      <w:proofErr w:type="spellEnd"/>
      <w:r w:rsidRPr="001C5504">
        <w:t xml:space="preserve"> 2, </w:t>
      </w:r>
      <w:r w:rsidRPr="001C5504">
        <w:rPr>
          <w:i/>
          <w:iCs/>
        </w:rPr>
        <w:t xml:space="preserve">and </w:t>
      </w:r>
      <w:r w:rsidRPr="001C5504">
        <w:t xml:space="preserve">1821 Me. Laws 285, </w:t>
      </w:r>
      <w:proofErr w:type="spellStart"/>
      <w:r w:rsidRPr="001C5504">
        <w:t>ch.</w:t>
      </w:r>
      <w:proofErr w:type="spellEnd"/>
      <w:r w:rsidRPr="001C5504">
        <w:t xml:space="preserve"> 76, § 1, </w:t>
      </w:r>
      <w:r w:rsidRPr="001C5504">
        <w:rPr>
          <w:i/>
          <w:iCs/>
        </w:rPr>
        <w:t xml:space="preserve">with </w:t>
      </w:r>
      <w:r w:rsidRPr="001C5504">
        <w:t xml:space="preserve">1847 Va. Laws 127, </w:t>
      </w:r>
      <w:proofErr w:type="spellStart"/>
      <w:r w:rsidRPr="001C5504">
        <w:t>ch.</w:t>
      </w:r>
      <w:proofErr w:type="spellEnd"/>
      <w:r w:rsidRPr="001C5504">
        <w:t xml:space="preserve"> 14, § 15, 1836 Mass. Laws 748, 750, </w:t>
      </w:r>
      <w:proofErr w:type="spellStart"/>
      <w:r w:rsidRPr="001C5504">
        <w:t>ch.</w:t>
      </w:r>
      <w:proofErr w:type="spellEnd"/>
      <w:r w:rsidRPr="001C5504">
        <w:t xml:space="preserve"> 134, § 16, </w:t>
      </w:r>
      <w:r w:rsidRPr="001C5504">
        <w:rPr>
          <w:i/>
          <w:iCs/>
        </w:rPr>
        <w:t xml:space="preserve">and </w:t>
      </w:r>
      <w:r w:rsidRPr="001C5504">
        <w:t xml:space="preserve">1841 Me. Laws 707, </w:t>
      </w:r>
      <w:proofErr w:type="spellStart"/>
      <w:r w:rsidRPr="001C5504">
        <w:t>ch.</w:t>
      </w:r>
      <w:proofErr w:type="spellEnd"/>
      <w:r w:rsidRPr="001C5504">
        <w:t xml:space="preserve"> 169, § 16.</w:t>
      </w:r>
    </w:p>
  </w:footnote>
  <w:footnote w:id="32">
    <w:p w14:paraId="6D2139CA" w14:textId="0C8474B3" w:rsidR="00FF3E95" w:rsidRPr="001C5504" w:rsidRDefault="00FF3E95">
      <w:pPr>
        <w:pStyle w:val="FootnoteText"/>
      </w:pPr>
      <w:r w:rsidRPr="001C5504">
        <w:rPr>
          <w:rStyle w:val="FootnoteReference"/>
        </w:rPr>
        <w:footnoteRef/>
      </w:r>
      <w:r w:rsidRPr="001C5504">
        <w:t xml:space="preserve"> </w:t>
      </w:r>
      <w:r w:rsidRPr="001C5504">
        <w:rPr>
          <w:i/>
          <w:iCs/>
        </w:rPr>
        <w:t>Boston Daily Advertiser</w:t>
      </w:r>
      <w:r w:rsidRPr="001C5504">
        <w:t>, July 13, 1895, at 4.</w:t>
      </w:r>
    </w:p>
  </w:footnote>
  <w:footnote w:id="33">
    <w:p w14:paraId="369F7FFF" w14:textId="4422E26C" w:rsidR="00EC090C" w:rsidRPr="001C5504" w:rsidRDefault="00EC090C" w:rsidP="00EC090C">
      <w:pPr>
        <w:pStyle w:val="FootnoteText"/>
      </w:pPr>
      <w:r w:rsidRPr="001C5504">
        <w:rPr>
          <w:rStyle w:val="FootnoteReference"/>
        </w:rPr>
        <w:footnoteRef/>
      </w:r>
      <w:r w:rsidRPr="001C5504">
        <w:t xml:space="preserve"> 185</w:t>
      </w:r>
      <w:r w:rsidR="00C13E93">
        <w:t>5</w:t>
      </w:r>
      <w:r w:rsidRPr="001C5504">
        <w:t xml:space="preserve"> D.C. Code 570, </w:t>
      </w:r>
      <w:proofErr w:type="spellStart"/>
      <w:r w:rsidRPr="001C5504">
        <w:t>ch.</w:t>
      </w:r>
      <w:proofErr w:type="spellEnd"/>
      <w:r w:rsidRPr="001C5504">
        <w:t xml:space="preserve"> 141, § 16.</w:t>
      </w:r>
    </w:p>
  </w:footnote>
  <w:footnote w:id="34">
    <w:p w14:paraId="7D4DFE4E" w14:textId="64B65EDD" w:rsidR="00C95B91" w:rsidRPr="001C5504" w:rsidRDefault="00C95B91">
      <w:pPr>
        <w:pStyle w:val="FootnoteText"/>
      </w:pPr>
      <w:r w:rsidRPr="001C5504">
        <w:rPr>
          <w:rStyle w:val="FootnoteReference"/>
        </w:rPr>
        <w:footnoteRef/>
      </w:r>
      <w:r w:rsidRPr="001C5504">
        <w:t xml:space="preserve"> </w:t>
      </w:r>
      <w:r w:rsidRPr="001C5504">
        <w:rPr>
          <w:i/>
          <w:iCs/>
        </w:rPr>
        <w:t xml:space="preserve">Carrying </w:t>
      </w:r>
      <w:r w:rsidR="008B42F8" w:rsidRPr="001C5504">
        <w:rPr>
          <w:i/>
          <w:iCs/>
        </w:rPr>
        <w:t>C</w:t>
      </w:r>
      <w:r w:rsidRPr="001C5504">
        <w:rPr>
          <w:i/>
          <w:iCs/>
        </w:rPr>
        <w:t>oncealed Weapons</w:t>
      </w:r>
      <w:r w:rsidRPr="001C5504">
        <w:t>,</w:t>
      </w:r>
      <w:r w:rsidRPr="001C5504">
        <w:rPr>
          <w:i/>
          <w:iCs/>
        </w:rPr>
        <w:t xml:space="preserve"> </w:t>
      </w:r>
      <w:r w:rsidRPr="001C5504">
        <w:rPr>
          <w:smallCaps/>
        </w:rPr>
        <w:t>Evening Star</w:t>
      </w:r>
      <w:r w:rsidRPr="001C5504">
        <w:t>, Nov. 26, 1856, at 3.</w:t>
      </w:r>
    </w:p>
  </w:footnote>
  <w:footnote w:id="35">
    <w:p w14:paraId="7220C81B" w14:textId="3E631733" w:rsidR="008B42F8" w:rsidRPr="001C5504" w:rsidRDefault="008B42F8">
      <w:pPr>
        <w:pStyle w:val="FootnoteText"/>
      </w:pPr>
      <w:r w:rsidRPr="001C5504">
        <w:rPr>
          <w:rStyle w:val="FootnoteReference"/>
        </w:rPr>
        <w:footnoteRef/>
      </w:r>
      <w:r w:rsidRPr="001C5504">
        <w:t xml:space="preserve"> </w:t>
      </w:r>
      <w:r w:rsidRPr="001C5504">
        <w:rPr>
          <w:smallCaps/>
        </w:rPr>
        <w:t>Evening Star</w:t>
      </w:r>
      <w:r w:rsidRPr="001C5504">
        <w:t>, Dec. 5, 1887, at 5.</w:t>
      </w:r>
    </w:p>
  </w:footnote>
  <w:footnote w:id="36">
    <w:p w14:paraId="4A89D7AB" w14:textId="2FD05D5C" w:rsidR="006F7FA8" w:rsidRPr="001C5504" w:rsidRDefault="006F7FA8">
      <w:pPr>
        <w:pStyle w:val="FootnoteText"/>
      </w:pPr>
      <w:r w:rsidRPr="001C5504">
        <w:rPr>
          <w:rStyle w:val="FootnoteReference"/>
        </w:rPr>
        <w:footnoteRef/>
      </w:r>
      <w:r w:rsidRPr="001C5504">
        <w:t xml:space="preserve"> </w:t>
      </w:r>
      <w:r w:rsidRPr="001C5504">
        <w:rPr>
          <w:i/>
          <w:iCs/>
        </w:rPr>
        <w:t>City Intelligence</w:t>
      </w:r>
      <w:r w:rsidRPr="001C5504">
        <w:t xml:space="preserve">, </w:t>
      </w:r>
      <w:r w:rsidRPr="001C5504">
        <w:rPr>
          <w:smallCaps/>
        </w:rPr>
        <w:t>Boston Courier</w:t>
      </w:r>
      <w:r w:rsidRPr="001C5504">
        <w:t xml:space="preserve">, Mar. </w:t>
      </w:r>
      <w:r w:rsidR="00FF3E95" w:rsidRPr="001C5504">
        <w:t>4</w:t>
      </w:r>
      <w:r w:rsidRPr="001C5504">
        <w:t xml:space="preserve">, </w:t>
      </w:r>
      <w:proofErr w:type="gramStart"/>
      <w:r w:rsidRPr="001C5504">
        <w:t>1853</w:t>
      </w:r>
      <w:proofErr w:type="gramEnd"/>
      <w:r w:rsidRPr="001C5504">
        <w:t xml:space="preserve"> at 4.</w:t>
      </w:r>
    </w:p>
  </w:footnote>
  <w:footnote w:id="37">
    <w:p w14:paraId="788F4523" w14:textId="31204AB4" w:rsidR="006F7FA8" w:rsidRPr="001C5504" w:rsidRDefault="006F7FA8">
      <w:pPr>
        <w:pStyle w:val="FootnoteText"/>
      </w:pPr>
      <w:r w:rsidRPr="001C5504">
        <w:rPr>
          <w:rStyle w:val="FootnoteReference"/>
        </w:rPr>
        <w:footnoteRef/>
      </w:r>
      <w:r w:rsidRPr="001C5504">
        <w:t xml:space="preserve"> </w:t>
      </w:r>
      <w:r w:rsidRPr="001C5504">
        <w:rPr>
          <w:i/>
          <w:iCs/>
        </w:rPr>
        <w:t>Id.</w:t>
      </w:r>
      <w:r w:rsidRPr="001C5504">
        <w:t xml:space="preserve">; </w:t>
      </w:r>
      <w:r w:rsidRPr="001C5504">
        <w:rPr>
          <w:i/>
          <w:iCs/>
        </w:rPr>
        <w:t xml:space="preserve">see also </w:t>
      </w:r>
      <w:r w:rsidRPr="001C5504">
        <w:rPr>
          <w:smallCaps/>
        </w:rPr>
        <w:t>Halbrook</w:t>
      </w:r>
      <w:r w:rsidRPr="001C5504">
        <w:t xml:space="preserve">, </w:t>
      </w:r>
      <w:r w:rsidRPr="001C5504">
        <w:rPr>
          <w:i/>
          <w:iCs/>
        </w:rPr>
        <w:t>supra</w:t>
      </w:r>
      <w:r w:rsidRPr="001C5504">
        <w:t>, at 231.</w:t>
      </w:r>
    </w:p>
  </w:footnote>
  <w:footnote w:id="38">
    <w:p w14:paraId="5EB19EF1" w14:textId="53DAA350" w:rsidR="00DA6D81" w:rsidRPr="001C5504" w:rsidRDefault="00DA6D81">
      <w:pPr>
        <w:pStyle w:val="FootnoteText"/>
      </w:pPr>
      <w:r w:rsidRPr="001C5504">
        <w:rPr>
          <w:rStyle w:val="FootnoteReference"/>
        </w:rPr>
        <w:footnoteRef/>
      </w:r>
      <w:r w:rsidR="00037066" w:rsidRPr="001C5504">
        <w:t xml:space="preserve"> 1813 Ky. Acts 100, </w:t>
      </w:r>
      <w:proofErr w:type="spellStart"/>
      <w:r w:rsidR="00037066" w:rsidRPr="001C5504">
        <w:t>ch.</w:t>
      </w:r>
      <w:proofErr w:type="spellEnd"/>
      <w:r w:rsidR="00037066" w:rsidRPr="001C5504">
        <w:t xml:space="preserve"> 89, § 1.</w:t>
      </w:r>
    </w:p>
  </w:footnote>
  <w:footnote w:id="39">
    <w:p w14:paraId="1A7A509A" w14:textId="0B650353" w:rsidR="00634449" w:rsidRPr="001C5504" w:rsidRDefault="00634449">
      <w:pPr>
        <w:pStyle w:val="FootnoteText"/>
      </w:pPr>
      <w:r w:rsidRPr="001C5504">
        <w:rPr>
          <w:rStyle w:val="FootnoteReference"/>
        </w:rPr>
        <w:footnoteRef/>
      </w:r>
      <w:r w:rsidRPr="001C5504">
        <w:t xml:space="preserve"> </w:t>
      </w:r>
      <w:r w:rsidR="00037066" w:rsidRPr="001C5504">
        <w:t xml:space="preserve">1813 La. Acts 172, § 1; </w:t>
      </w:r>
      <w:r w:rsidR="001F28A2" w:rsidRPr="001C5504">
        <w:t xml:space="preserve">1819 Ind. Acts 39; 1837 Ark. Rev. Stat. 280; </w:t>
      </w:r>
      <w:r w:rsidRPr="001C5504">
        <w:t xml:space="preserve">1838 Va. Acts 76, </w:t>
      </w:r>
      <w:proofErr w:type="spellStart"/>
      <w:r w:rsidRPr="001C5504">
        <w:t>ch.</w:t>
      </w:r>
      <w:proofErr w:type="spellEnd"/>
      <w:r w:rsidRPr="001C5504">
        <w:t xml:space="preserve"> 101, § 1</w:t>
      </w:r>
      <w:r w:rsidR="00E541AD" w:rsidRPr="001C5504">
        <w:t xml:space="preserve">; </w:t>
      </w:r>
      <w:r w:rsidR="006C1580" w:rsidRPr="001C5504">
        <w:t>1839 Fla. Acts 423</w:t>
      </w:r>
      <w:r w:rsidR="00590793" w:rsidRPr="001C5504">
        <w:t>; 1839 Ala. Acts 67, § 1</w:t>
      </w:r>
      <w:r w:rsidR="001F28A2" w:rsidRPr="001C5504">
        <w:t>; 1859 Ohio Laws 56, § 1</w:t>
      </w:r>
      <w:r w:rsidR="006C1580" w:rsidRPr="001C5504">
        <w:t>.</w:t>
      </w:r>
    </w:p>
  </w:footnote>
  <w:footnote w:id="40">
    <w:p w14:paraId="6E2B10C7" w14:textId="2849D1DB" w:rsidR="00DB6772" w:rsidRPr="001C5504" w:rsidRDefault="00DB6772">
      <w:pPr>
        <w:pStyle w:val="FootnoteText"/>
      </w:pPr>
      <w:r w:rsidRPr="001C5504">
        <w:rPr>
          <w:rStyle w:val="FootnoteReference"/>
        </w:rPr>
        <w:footnoteRef/>
      </w:r>
      <w:r w:rsidRPr="001C5504">
        <w:t xml:space="preserve"> 1821 Tenn. Pub. Acts 15, </w:t>
      </w:r>
      <w:proofErr w:type="spellStart"/>
      <w:r w:rsidRPr="001C5504">
        <w:t>ch.</w:t>
      </w:r>
      <w:proofErr w:type="spellEnd"/>
      <w:r w:rsidRPr="001C5504">
        <w:t xml:space="preserve"> 13; </w:t>
      </w:r>
      <w:r w:rsidRPr="001C5504">
        <w:rPr>
          <w:i/>
          <w:iCs/>
        </w:rPr>
        <w:t xml:space="preserve">accord </w:t>
      </w:r>
      <w:r w:rsidRPr="001C5504">
        <w:t xml:space="preserve">1869-1870 Tenn. Pub. Acts, </w:t>
      </w:r>
      <w:proofErr w:type="spellStart"/>
      <w:r w:rsidRPr="001C5504">
        <w:t>ch.</w:t>
      </w:r>
      <w:proofErr w:type="spellEnd"/>
      <w:r w:rsidRPr="001C5504">
        <w:t xml:space="preserve"> 13, § 1.</w:t>
      </w:r>
    </w:p>
  </w:footnote>
  <w:footnote w:id="41">
    <w:p w14:paraId="453766AC" w14:textId="65DB9F74" w:rsidR="00347AB7" w:rsidRPr="001C5504" w:rsidRDefault="00347AB7">
      <w:pPr>
        <w:pStyle w:val="FootnoteText"/>
      </w:pPr>
      <w:r w:rsidRPr="001C5504">
        <w:rPr>
          <w:rStyle w:val="FootnoteReference"/>
        </w:rPr>
        <w:footnoteRef/>
      </w:r>
      <w:r w:rsidRPr="001C5504">
        <w:t xml:space="preserve"> </w:t>
      </w:r>
      <w:r w:rsidRPr="001C5504">
        <w:rPr>
          <w:i/>
          <w:iCs/>
        </w:rPr>
        <w:t xml:space="preserve">Compare </w:t>
      </w:r>
      <w:r w:rsidRPr="001C5504">
        <w:t xml:space="preserve">Act of Nov. 4, 1857, </w:t>
      </w:r>
      <w:proofErr w:type="spellStart"/>
      <w:r w:rsidRPr="001C5504">
        <w:t>ch.</w:t>
      </w:r>
      <w:proofErr w:type="spellEnd"/>
      <w:r w:rsidRPr="001C5504">
        <w:t xml:space="preserve"> 5, </w:t>
      </w:r>
      <w:r w:rsidRPr="001C5504">
        <w:rPr>
          <w:i/>
          <w:iCs/>
        </w:rPr>
        <w:t xml:space="preserve">in </w:t>
      </w:r>
      <w:r w:rsidRPr="001C5504">
        <w:rPr>
          <w:smallCaps/>
        </w:rPr>
        <w:t>General Laws of the</w:t>
      </w:r>
      <w:r w:rsidRPr="001C5504">
        <w:t xml:space="preserve"> </w:t>
      </w:r>
      <w:r w:rsidRPr="001C5504">
        <w:rPr>
          <w:smallCaps/>
        </w:rPr>
        <w:t>Corporation of the City of Washington</w:t>
      </w:r>
      <w:r w:rsidRPr="001C5504">
        <w:t xml:space="preserve"> 75 (Robert A. Waters ed., 1860), </w:t>
      </w:r>
      <w:r w:rsidRPr="001C5504">
        <w:rPr>
          <w:i/>
          <w:iCs/>
        </w:rPr>
        <w:t xml:space="preserve">with </w:t>
      </w:r>
      <w:r w:rsidR="00556F4D" w:rsidRPr="001C5504">
        <w:t xml:space="preserve">Act of Nov. 18, 1858, </w:t>
      </w:r>
      <w:r w:rsidR="00556F4D" w:rsidRPr="001C5504">
        <w:rPr>
          <w:i/>
          <w:iCs/>
        </w:rPr>
        <w:t xml:space="preserve">in id. </w:t>
      </w:r>
      <w:r w:rsidR="00556F4D" w:rsidRPr="001C5504">
        <w:t>at 114.</w:t>
      </w:r>
    </w:p>
  </w:footnote>
  <w:footnote w:id="42">
    <w:p w14:paraId="727925C7" w14:textId="5FA6806E" w:rsidR="00556F4D" w:rsidRPr="001C5504" w:rsidRDefault="00556F4D">
      <w:pPr>
        <w:pStyle w:val="FootnoteText"/>
      </w:pPr>
      <w:r w:rsidRPr="001C5504">
        <w:rPr>
          <w:rStyle w:val="FootnoteReference"/>
        </w:rPr>
        <w:footnoteRef/>
      </w:r>
      <w:r w:rsidRPr="001C5504">
        <w:t xml:space="preserve"> </w:t>
      </w:r>
      <w:r w:rsidRPr="001C5504">
        <w:rPr>
          <w:i/>
          <w:iCs/>
        </w:rPr>
        <w:t>Concealed Weapons</w:t>
      </w:r>
      <w:r w:rsidRPr="001C5504">
        <w:t xml:space="preserve">, </w:t>
      </w:r>
      <w:r w:rsidRPr="001C5504">
        <w:rPr>
          <w:smallCaps/>
        </w:rPr>
        <w:t>Evening Star</w:t>
      </w:r>
      <w:r w:rsidRPr="001C5504">
        <w:t>, Nov. 11, 1858, at 3.</w:t>
      </w:r>
    </w:p>
  </w:footnote>
  <w:footnote w:id="43">
    <w:p w14:paraId="2AF9657C" w14:textId="2D2AB72A" w:rsidR="003D3298" w:rsidRPr="001C5504" w:rsidRDefault="003D3298">
      <w:pPr>
        <w:pStyle w:val="FootnoteText"/>
      </w:pPr>
      <w:r w:rsidRPr="001C5504">
        <w:rPr>
          <w:rStyle w:val="FootnoteReference"/>
        </w:rPr>
        <w:footnoteRef/>
      </w:r>
      <w:r w:rsidRPr="001C5504">
        <w:t xml:space="preserve"> </w:t>
      </w:r>
      <w:proofErr w:type="spellStart"/>
      <w:r w:rsidRPr="001C5504">
        <w:rPr>
          <w:i/>
          <w:iCs/>
        </w:rPr>
        <w:t>Walburn</w:t>
      </w:r>
      <w:proofErr w:type="spellEnd"/>
      <w:r w:rsidRPr="001C5504">
        <w:rPr>
          <w:i/>
          <w:iCs/>
        </w:rPr>
        <w:t xml:space="preserve"> v. Territory</w:t>
      </w:r>
      <w:r w:rsidRPr="001C5504">
        <w:t xml:space="preserve">, </w:t>
      </w:r>
      <w:proofErr w:type="gramStart"/>
      <w:r w:rsidRPr="001C5504">
        <w:t>in the course of</w:t>
      </w:r>
      <w:proofErr w:type="gramEnd"/>
      <w:r w:rsidRPr="001C5504">
        <w:t xml:space="preserve"> reversing </w:t>
      </w:r>
      <w:proofErr w:type="spellStart"/>
      <w:r w:rsidRPr="001C5504">
        <w:t>Walburn’s</w:t>
      </w:r>
      <w:proofErr w:type="spellEnd"/>
      <w:r w:rsidRPr="001C5504">
        <w:t xml:space="preserve"> conviction “for carrying a revolver” on evidentiary grounds, stated that “[a]s at present advised, we are of the opinion that the statute violates none of the inhibitions of the constitution of the United States.” </w:t>
      </w:r>
      <w:r w:rsidR="00313858" w:rsidRPr="001C5504">
        <w:t>59 P. 972, 973 (Okla. 1899). However, it is impossible to</w:t>
      </w:r>
      <w:r w:rsidR="003E45C6">
        <w:t xml:space="preserve"> determine </w:t>
      </w:r>
      <w:r w:rsidR="003E45C6" w:rsidRPr="001C5504">
        <w:t xml:space="preserve">what the basis for </w:t>
      </w:r>
      <w:r w:rsidR="003E45C6">
        <w:t>this</w:t>
      </w:r>
      <w:r w:rsidR="003E45C6" w:rsidRPr="001C5504">
        <w:t xml:space="preserve"> decision was</w:t>
      </w:r>
      <w:r w:rsidR="00313858" w:rsidRPr="001C5504">
        <w:t>—</w:t>
      </w:r>
      <w:proofErr w:type="spellStart"/>
      <w:r w:rsidR="00313858" w:rsidRPr="001C5504">
        <w:t>Walburn</w:t>
      </w:r>
      <w:proofErr w:type="spellEnd"/>
      <w:r w:rsidR="00313858" w:rsidRPr="001C5504">
        <w:t xml:space="preserve"> cited “[n]o authorities” and did not press his constitutional defense “very earnestly</w:t>
      </w:r>
      <w:r w:rsidR="003E45C6">
        <w:t>.</w:t>
      </w:r>
      <w:r w:rsidR="00313858" w:rsidRPr="001C5504">
        <w:t>”</w:t>
      </w:r>
      <w:r w:rsidR="00EF2645" w:rsidRPr="001C5504">
        <w:t xml:space="preserve"> </w:t>
      </w:r>
      <w:r w:rsidR="00EF2645" w:rsidRPr="001C5504">
        <w:rPr>
          <w:i/>
          <w:iCs/>
        </w:rPr>
        <w:t>Id</w:t>
      </w:r>
      <w:r w:rsidR="00EF2645" w:rsidRPr="001C5504">
        <w:t>.</w:t>
      </w:r>
    </w:p>
  </w:footnote>
  <w:footnote w:id="44">
    <w:p w14:paraId="30911C1B" w14:textId="2FC8A401" w:rsidR="00CF10CE" w:rsidRPr="001C5504" w:rsidRDefault="00CF10CE">
      <w:pPr>
        <w:pStyle w:val="FootnoteText"/>
      </w:pPr>
      <w:r w:rsidRPr="001C5504">
        <w:rPr>
          <w:rStyle w:val="FootnoteReference"/>
        </w:rPr>
        <w:footnoteRef/>
      </w:r>
      <w:r w:rsidRPr="001C5504">
        <w:t xml:space="preserve"> Michael P. O</w:t>
      </w:r>
      <w:r w:rsidR="00EF2645" w:rsidRPr="001C5504">
        <w:t>’</w:t>
      </w:r>
      <w:r w:rsidRPr="001C5504">
        <w:t>Shea, </w:t>
      </w:r>
      <w:r w:rsidRPr="001C5504">
        <w:rPr>
          <w:i/>
          <w:iCs/>
        </w:rPr>
        <w:t>Modeling the Second Amendment Right to Carry Arms (I): Judicial Tradition and the Scope of “Bearing Arms” for Self-Defense</w:t>
      </w:r>
      <w:r w:rsidRPr="001C5504">
        <w:t xml:space="preserve">, 61 </w:t>
      </w:r>
      <w:r w:rsidRPr="001C5504">
        <w:rPr>
          <w:smallCaps/>
        </w:rPr>
        <w:t>Am. U. L. Rev.</w:t>
      </w:r>
      <w:r w:rsidRPr="001C5504">
        <w:t xml:space="preserve"> 585, 655 (2012)</w:t>
      </w:r>
      <w:r w:rsidR="003E45C6">
        <w:t>.</w:t>
      </w:r>
    </w:p>
  </w:footnote>
  <w:footnote w:id="45">
    <w:p w14:paraId="54D8CDEC" w14:textId="2C16F386" w:rsidR="000E701D" w:rsidRPr="001C5504" w:rsidRDefault="000E701D">
      <w:pPr>
        <w:pStyle w:val="FootnoteText"/>
      </w:pPr>
      <w:r w:rsidRPr="001C5504">
        <w:rPr>
          <w:rStyle w:val="FootnoteReference"/>
        </w:rPr>
        <w:footnoteRef/>
      </w:r>
      <w:r w:rsidRPr="001C5504">
        <w:t xml:space="preserve"> </w:t>
      </w:r>
      <w:r w:rsidRPr="001C5504">
        <w:rPr>
          <w:i/>
          <w:iCs/>
        </w:rPr>
        <w:t xml:space="preserve">Compare </w:t>
      </w:r>
      <w:r w:rsidRPr="001C5504">
        <w:t xml:space="preserve">1838 Va. Acts 76, </w:t>
      </w:r>
      <w:proofErr w:type="spellStart"/>
      <w:r w:rsidRPr="001C5504">
        <w:t>ch.</w:t>
      </w:r>
      <w:proofErr w:type="spellEnd"/>
      <w:r w:rsidRPr="001C5504">
        <w:t xml:space="preserve"> 101, § 1, </w:t>
      </w:r>
      <w:r w:rsidRPr="001C5504">
        <w:rPr>
          <w:i/>
          <w:iCs/>
        </w:rPr>
        <w:t xml:space="preserve">with </w:t>
      </w:r>
      <w:r w:rsidRPr="001C5504">
        <w:t xml:space="preserve">1847 Va. Laws 127, </w:t>
      </w:r>
      <w:proofErr w:type="spellStart"/>
      <w:r w:rsidRPr="001C5504">
        <w:t>ch.</w:t>
      </w:r>
      <w:proofErr w:type="spellEnd"/>
      <w:r w:rsidRPr="001C5504">
        <w:t xml:space="preserve"> 14, § 16; 1846 Mich. Laws 69</w:t>
      </w:r>
      <w:r w:rsidR="008F4385" w:rsidRPr="001C5504">
        <w:t>0, 692</w:t>
      </w:r>
      <w:r w:rsidRPr="001C5504">
        <w:t xml:space="preserve"> </w:t>
      </w:r>
      <w:proofErr w:type="spellStart"/>
      <w:r w:rsidRPr="001C5504">
        <w:t>ch.</w:t>
      </w:r>
      <w:proofErr w:type="spellEnd"/>
      <w:r w:rsidRPr="001C5504">
        <w:t xml:space="preserve"> 162, § 16, </w:t>
      </w:r>
      <w:r w:rsidRPr="001C5504">
        <w:rPr>
          <w:i/>
          <w:iCs/>
        </w:rPr>
        <w:t xml:space="preserve">with </w:t>
      </w:r>
      <w:r w:rsidRPr="001C5504">
        <w:t>1887 Mich. Pub. Acts 144</w:t>
      </w:r>
      <w:r w:rsidR="00632712" w:rsidRPr="001C5504">
        <w:t>, § 1</w:t>
      </w:r>
      <w:r w:rsidRPr="001C5504">
        <w:t>; 1838 Wis. Laws 378</w:t>
      </w:r>
      <w:r w:rsidR="008F4385" w:rsidRPr="001C5504">
        <w:t xml:space="preserve">, </w:t>
      </w:r>
      <w:r w:rsidR="00632712" w:rsidRPr="001C5504">
        <w:t>381</w:t>
      </w:r>
      <w:r w:rsidRPr="001C5504">
        <w:t xml:space="preserve">, § 16, </w:t>
      </w:r>
      <w:r w:rsidRPr="001C5504">
        <w:rPr>
          <w:i/>
          <w:iCs/>
        </w:rPr>
        <w:t xml:space="preserve">with </w:t>
      </w:r>
      <w:r w:rsidRPr="001C5504">
        <w:t>1872 Wis. Laws</w:t>
      </w:r>
      <w:r w:rsidR="008F4385" w:rsidRPr="001C5504">
        <w:t xml:space="preserve"> 17</w:t>
      </w:r>
      <w:r w:rsidRPr="001C5504">
        <w:t xml:space="preserve">, </w:t>
      </w:r>
      <w:proofErr w:type="spellStart"/>
      <w:r w:rsidRPr="001C5504">
        <w:t>ch.</w:t>
      </w:r>
      <w:proofErr w:type="spellEnd"/>
      <w:r w:rsidRPr="001C5504">
        <w:t xml:space="preserve"> 7, § 1; 1853 Or. Laws 220, </w:t>
      </w:r>
      <w:proofErr w:type="spellStart"/>
      <w:r w:rsidRPr="001C5504">
        <w:t>ch.</w:t>
      </w:r>
      <w:proofErr w:type="spellEnd"/>
      <w:r w:rsidRPr="001C5504">
        <w:t xml:space="preserve"> 16, §17, </w:t>
      </w:r>
      <w:r w:rsidRPr="001C5504">
        <w:rPr>
          <w:i/>
          <w:iCs/>
        </w:rPr>
        <w:t xml:space="preserve">with </w:t>
      </w:r>
      <w:r w:rsidRPr="001C5504">
        <w:t xml:space="preserve">1885 Or. Laws 33, § 1; </w:t>
      </w:r>
      <w:r w:rsidRPr="001C5504">
        <w:rPr>
          <w:i/>
          <w:iCs/>
        </w:rPr>
        <w:t>and</w:t>
      </w:r>
      <w:r w:rsidRPr="001C5504">
        <w:t xml:space="preserve"> 1870 W. Va. Code 692, </w:t>
      </w:r>
      <w:proofErr w:type="spellStart"/>
      <w:r w:rsidRPr="001C5504">
        <w:t>ch.</w:t>
      </w:r>
      <w:proofErr w:type="spellEnd"/>
      <w:r w:rsidRPr="001C5504">
        <w:t xml:space="preserve"> 148, § 7, </w:t>
      </w:r>
      <w:r w:rsidRPr="001C5504">
        <w:rPr>
          <w:i/>
          <w:iCs/>
        </w:rPr>
        <w:t xml:space="preserve">with </w:t>
      </w:r>
      <w:r w:rsidRPr="001C5504">
        <w:t xml:space="preserve">1870 W. Va. </w:t>
      </w:r>
      <w:r w:rsidR="003F5294" w:rsidRPr="001C5504">
        <w:t>Code</w:t>
      </w:r>
      <w:r w:rsidRPr="001C5504">
        <w:t xml:space="preserve"> 702, </w:t>
      </w:r>
      <w:proofErr w:type="spellStart"/>
      <w:r w:rsidRPr="001C5504">
        <w:t>ch.</w:t>
      </w:r>
      <w:proofErr w:type="spellEnd"/>
      <w:r w:rsidRPr="001C5504">
        <w:t xml:space="preserve"> 153, §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86649"/>
      <w:docPartObj>
        <w:docPartGallery w:val="Page Numbers (Top of Page)"/>
        <w:docPartUnique/>
      </w:docPartObj>
    </w:sdtPr>
    <w:sdtEndPr>
      <w:rPr>
        <w:noProof/>
      </w:rPr>
    </w:sdtEndPr>
    <w:sdtContent>
      <w:p w14:paraId="4FAB4A1A" w14:textId="77777777" w:rsidR="002F083A" w:rsidRDefault="002F083A" w:rsidP="00C3480B">
        <w:pPr>
          <w:pStyle w:val="Header"/>
        </w:pPr>
      </w:p>
      <w:p w14:paraId="7946B031" w14:textId="77777777" w:rsidR="002F083A" w:rsidRDefault="002F083A" w:rsidP="00C3480B">
        <w:pPr>
          <w:pStyle w:val="Header"/>
        </w:pPr>
      </w:p>
      <w:p w14:paraId="27E24575" w14:textId="77777777" w:rsidR="002F083A" w:rsidRDefault="002F083A" w:rsidP="00C3480B">
        <w:pPr>
          <w:pStyle w:val="Header"/>
        </w:pPr>
      </w:p>
      <w:p w14:paraId="2E8F6482" w14:textId="77777777" w:rsidR="002F083A" w:rsidRDefault="002F083A" w:rsidP="00C3480B">
        <w:pPr>
          <w:pStyle w:val="Header"/>
        </w:pPr>
      </w:p>
      <w:p w14:paraId="4E0FA23F" w14:textId="77777777" w:rsidR="002F083A" w:rsidRDefault="002F083A" w:rsidP="00C3480B">
        <w:pPr>
          <w:pStyle w:val="Header"/>
        </w:pPr>
      </w:p>
      <w:p w14:paraId="48D02E9E" w14:textId="77777777" w:rsidR="002F083A" w:rsidRDefault="002F083A" w:rsidP="00C3480B">
        <w:pPr>
          <w:pStyle w:val="Header"/>
        </w:pPr>
      </w:p>
      <w:p w14:paraId="7599342B" w14:textId="77777777" w:rsidR="008A2FD8" w:rsidRDefault="002F083A" w:rsidP="008A2FD8">
        <w:pPr>
          <w:pStyle w:val="Header"/>
          <w:spacing w:after="0"/>
          <w:ind w:firstLine="0"/>
          <w:jc w:val="center"/>
          <w:rPr>
            <w:noProof/>
          </w:rPr>
        </w:pPr>
        <w:r w:rsidRPr="002F083A">
          <w:fldChar w:fldCharType="begin"/>
        </w:r>
        <w:r w:rsidRPr="002F083A">
          <w:instrText xml:space="preserve"> PAGE   \* MERGEFORMAT </w:instrText>
        </w:r>
        <w:r w:rsidRPr="002F083A">
          <w:fldChar w:fldCharType="separate"/>
        </w:r>
        <w:r w:rsidR="00095B67">
          <w:rPr>
            <w:noProof/>
          </w:rPr>
          <w:t>1</w:t>
        </w:r>
        <w:r w:rsidRPr="002F083A">
          <w:rPr>
            <w:noProof/>
          </w:rPr>
          <w:fldChar w:fldCharType="end"/>
        </w:r>
      </w:p>
      <w:p w14:paraId="11734E7C" w14:textId="77777777" w:rsidR="008A0D45" w:rsidRDefault="00F73E36" w:rsidP="008A2FD8">
        <w:pPr>
          <w:pStyle w:val="Header"/>
          <w:spacing w:after="0"/>
          <w:ind w:firstLine="0"/>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4.25pt;height:14.25pt" o:bullet="t">
        <v:imagedata r:id="rId1" o:title="clip_image001"/>
      </v:shape>
    </w:pict>
  </w:numPicBullet>
  <w:abstractNum w:abstractNumId="0" w15:restartNumberingAfterBreak="0">
    <w:nsid w:val="004E6EB2"/>
    <w:multiLevelType w:val="hybridMultilevel"/>
    <w:tmpl w:val="D7B4BD3A"/>
    <w:lvl w:ilvl="0" w:tplc="DA56B314">
      <w:start w:val="1"/>
      <w:numFmt w:val="upperLetter"/>
      <w:pStyle w:val="Heading3"/>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E38CD"/>
    <w:multiLevelType w:val="hybridMultilevel"/>
    <w:tmpl w:val="3540324A"/>
    <w:lvl w:ilvl="0" w:tplc="B12C77DC">
      <w:start w:val="1"/>
      <w:numFmt w:val="decimal"/>
      <w:lvlText w:val="%1."/>
      <w:lvlJc w:val="right"/>
      <w:pPr>
        <w:ind w:left="2160" w:hanging="18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2CDCE4">
      <w:start w:val="1"/>
      <w:numFmt w:val="lowerRoman"/>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13EA"/>
    <w:multiLevelType w:val="hybridMultilevel"/>
    <w:tmpl w:val="6A5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155E2"/>
    <w:multiLevelType w:val="multilevel"/>
    <w:tmpl w:val="B7C6C4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CC229A5"/>
    <w:multiLevelType w:val="hybridMultilevel"/>
    <w:tmpl w:val="C8CA6284"/>
    <w:lvl w:ilvl="0" w:tplc="982AF824">
      <w:start w:val="2"/>
      <w:numFmt w:val="decimal"/>
      <w:lvlText w:val="%1."/>
      <w:lvlJc w:val="right"/>
      <w:pPr>
        <w:ind w:left="2160" w:hanging="18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23254"/>
    <w:multiLevelType w:val="hybridMultilevel"/>
    <w:tmpl w:val="49722F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50EF4"/>
    <w:multiLevelType w:val="hybridMultilevel"/>
    <w:tmpl w:val="D304D7CC"/>
    <w:lvl w:ilvl="0" w:tplc="6308AE8A">
      <w:start w:val="1"/>
      <w:numFmt w:val="upperRoman"/>
      <w:pStyle w:val="Subtit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27E2"/>
    <w:multiLevelType w:val="hybridMultilevel"/>
    <w:tmpl w:val="3850CA4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0C2B2F"/>
    <w:multiLevelType w:val="hybridMultilevel"/>
    <w:tmpl w:val="62A015E2"/>
    <w:lvl w:ilvl="0" w:tplc="CD54CD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55616"/>
    <w:multiLevelType w:val="hybridMultilevel"/>
    <w:tmpl w:val="72B4F42E"/>
    <w:lvl w:ilvl="0" w:tplc="6A884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4232E"/>
    <w:multiLevelType w:val="hybridMultilevel"/>
    <w:tmpl w:val="C1E4D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1D2C"/>
    <w:multiLevelType w:val="hybridMultilevel"/>
    <w:tmpl w:val="BBD0A336"/>
    <w:lvl w:ilvl="0" w:tplc="700CF5C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559F8"/>
    <w:multiLevelType w:val="hybridMultilevel"/>
    <w:tmpl w:val="6E005718"/>
    <w:lvl w:ilvl="0" w:tplc="D4B81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25271"/>
    <w:multiLevelType w:val="hybridMultilevel"/>
    <w:tmpl w:val="B33ED29A"/>
    <w:lvl w:ilvl="0" w:tplc="1C400688">
      <w:start w:val="1"/>
      <w:numFmt w:val="upperRoman"/>
      <w:lvlText w:val="%1."/>
      <w:lvlJc w:val="left"/>
      <w:pPr>
        <w:ind w:left="1080" w:hanging="720"/>
      </w:pPr>
      <w:rPr>
        <w:rFonts w:ascii="Times New Roman" w:eastAsiaTheme="minorHAnsi" w:hAnsi="Times New Roman" w:cs="Times New Roman"/>
      </w:rPr>
    </w:lvl>
    <w:lvl w:ilvl="1" w:tplc="50D0A74C">
      <w:start w:val="1"/>
      <w:numFmt w:val="upperLetter"/>
      <w:lvlText w:val="%2."/>
      <w:lvlJc w:val="left"/>
      <w:pPr>
        <w:ind w:left="1440" w:hanging="360"/>
      </w:pPr>
      <w:rPr>
        <w:rFonts w:ascii="Century Schoolbook" w:eastAsiaTheme="minorHAnsi" w:hAnsi="Century Schoolbook" w:cstheme="minorBidi"/>
      </w:rPr>
    </w:lvl>
    <w:lvl w:ilvl="2" w:tplc="73587A4E">
      <w:start w:val="1"/>
      <w:numFmt w:val="decimal"/>
      <w:lvlText w:val="%3."/>
      <w:lvlJc w:val="right"/>
      <w:pPr>
        <w:ind w:left="2160" w:hanging="180"/>
      </w:pPr>
      <w:rPr>
        <w:rFonts w:ascii="Times New Roman" w:eastAsiaTheme="minorHAnsi" w:hAnsi="Times New Roman" w:cs="Times New Roman" w:hint="default"/>
        <w:sz w:val="24"/>
        <w:szCs w:val="24"/>
      </w:rPr>
    </w:lvl>
    <w:lvl w:ilvl="3" w:tplc="0016A4CC">
      <w:start w:val="1"/>
      <w:numFmt w:val="lowerRoman"/>
      <w:lvlText w:val="%4."/>
      <w:lvlJc w:val="left"/>
      <w:pPr>
        <w:ind w:left="2880" w:hanging="360"/>
      </w:pPr>
      <w:rPr>
        <w:rFonts w:ascii="Times New Roman" w:eastAsiaTheme="minorHAnsi" w:hAnsi="Times New Roman" w:cs="Times New Roman" w:hint="default"/>
        <w:sz w:val="24"/>
        <w:szCs w:val="24"/>
      </w:rPr>
    </w:lvl>
    <w:lvl w:ilvl="4" w:tplc="5C687C9A">
      <w:start w:val="1"/>
      <w:numFmt w:val="lowerLetter"/>
      <w:lvlText w:val="%5."/>
      <w:lvlJc w:val="left"/>
      <w:pPr>
        <w:ind w:left="3600" w:hanging="360"/>
      </w:pPr>
      <w:rPr>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D7A9F"/>
    <w:multiLevelType w:val="hybridMultilevel"/>
    <w:tmpl w:val="4530D496"/>
    <w:lvl w:ilvl="0" w:tplc="13FE5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35BF6"/>
    <w:multiLevelType w:val="hybridMultilevel"/>
    <w:tmpl w:val="84C27A38"/>
    <w:lvl w:ilvl="0" w:tplc="0E38CA32">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939FF"/>
    <w:multiLevelType w:val="hybridMultilevel"/>
    <w:tmpl w:val="3A52B6C8"/>
    <w:lvl w:ilvl="0" w:tplc="2AB2616A">
      <w:start w:val="1"/>
      <w:numFmt w:val="upperRoman"/>
      <w:lvlText w:val="%1."/>
      <w:lvlJc w:val="left"/>
      <w:pPr>
        <w:ind w:left="1080" w:hanging="720"/>
      </w:pPr>
      <w:rPr>
        <w:rFonts w:hint="default"/>
      </w:rPr>
    </w:lvl>
    <w:lvl w:ilvl="1" w:tplc="FE989F7E">
      <w:start w:val="1"/>
      <w:numFmt w:val="upperLetter"/>
      <w:lvlText w:val="%2."/>
      <w:lvlJc w:val="left"/>
      <w:pPr>
        <w:ind w:left="1440" w:hanging="360"/>
      </w:pPr>
      <w:rPr>
        <w:rFonts w:ascii="Times New Roman" w:eastAsiaTheme="minorHAnsi" w:hAnsi="Times New Roman" w:cs="Times New Roman"/>
      </w:rPr>
    </w:lvl>
    <w:lvl w:ilvl="2" w:tplc="87BEF48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87819"/>
    <w:multiLevelType w:val="hybridMultilevel"/>
    <w:tmpl w:val="38C0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128E5"/>
    <w:multiLevelType w:val="hybridMultilevel"/>
    <w:tmpl w:val="68F26214"/>
    <w:lvl w:ilvl="0" w:tplc="04090007">
      <w:start w:val="1"/>
      <w:numFmt w:val="bullet"/>
      <w:lvlText w:val=""/>
      <w:lvlPicBulletId w:val="0"/>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B428CB"/>
    <w:multiLevelType w:val="hybridMultilevel"/>
    <w:tmpl w:val="0D3E6764"/>
    <w:lvl w:ilvl="0" w:tplc="CD54C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E78A4"/>
    <w:multiLevelType w:val="hybridMultilevel"/>
    <w:tmpl w:val="E8A8175A"/>
    <w:lvl w:ilvl="0" w:tplc="CD54C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24D86"/>
    <w:multiLevelType w:val="hybridMultilevel"/>
    <w:tmpl w:val="85A20A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B611B"/>
    <w:multiLevelType w:val="hybridMultilevel"/>
    <w:tmpl w:val="2598A738"/>
    <w:lvl w:ilvl="0" w:tplc="C3148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435CD"/>
    <w:multiLevelType w:val="multilevel"/>
    <w:tmpl w:val="6B64598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576656D"/>
    <w:multiLevelType w:val="hybridMultilevel"/>
    <w:tmpl w:val="FCA2719E"/>
    <w:lvl w:ilvl="0" w:tplc="5EF0AE0C">
      <w:start w:val="2"/>
      <w:numFmt w:val="decimal"/>
      <w:lvlText w:val="%1."/>
      <w:lvlJc w:val="right"/>
      <w:pPr>
        <w:ind w:left="2160" w:hanging="18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F1B95"/>
    <w:multiLevelType w:val="hybridMultilevel"/>
    <w:tmpl w:val="7B225BAE"/>
    <w:lvl w:ilvl="0" w:tplc="E76A68D6">
      <w:start w:val="1"/>
      <w:numFmt w:val="decimal"/>
      <w:lvlText w:val="%1."/>
      <w:lvlJc w:val="right"/>
      <w:pPr>
        <w:ind w:left="2160" w:hanging="18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81CB6"/>
    <w:multiLevelType w:val="hybridMultilevel"/>
    <w:tmpl w:val="30F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32EE5"/>
    <w:multiLevelType w:val="hybridMultilevel"/>
    <w:tmpl w:val="7D905F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440718"/>
    <w:multiLevelType w:val="hybridMultilevel"/>
    <w:tmpl w:val="8AAC8434"/>
    <w:lvl w:ilvl="0" w:tplc="98F691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44F45C9"/>
    <w:multiLevelType w:val="hybridMultilevel"/>
    <w:tmpl w:val="1A9668FC"/>
    <w:lvl w:ilvl="0" w:tplc="CD54C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25"/>
  </w:num>
  <w:num w:numId="5">
    <w:abstractNumId w:val="24"/>
  </w:num>
  <w:num w:numId="6">
    <w:abstractNumId w:val="4"/>
  </w:num>
  <w:num w:numId="7">
    <w:abstractNumId w:val="7"/>
  </w:num>
  <w:num w:numId="8">
    <w:abstractNumId w:val="26"/>
  </w:num>
  <w:num w:numId="9">
    <w:abstractNumId w:val="17"/>
  </w:num>
  <w:num w:numId="10">
    <w:abstractNumId w:val="9"/>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3"/>
  </w:num>
  <w:num w:numId="15">
    <w:abstractNumId w:val="14"/>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20"/>
  </w:num>
  <w:num w:numId="21">
    <w:abstractNumId w:val="29"/>
  </w:num>
  <w:num w:numId="22">
    <w:abstractNumId w:val="12"/>
  </w:num>
  <w:num w:numId="23">
    <w:abstractNumId w:val="10"/>
  </w:num>
  <w:num w:numId="24">
    <w:abstractNumId w:val="21"/>
  </w:num>
  <w:num w:numId="25">
    <w:abstractNumId w:val="11"/>
  </w:num>
  <w:num w:numId="26">
    <w:abstractNumId w:val="6"/>
  </w:num>
  <w:num w:numId="27">
    <w:abstractNumId w:val="19"/>
  </w:num>
  <w:num w:numId="28">
    <w:abstractNumId w:val="22"/>
  </w:num>
  <w:num w:numId="29">
    <w:abstractNumId w:val="15"/>
  </w:num>
  <w:num w:numId="30">
    <w:abstractNumId w:val="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D"/>
    <w:rsid w:val="000002E2"/>
    <w:rsid w:val="00000933"/>
    <w:rsid w:val="00005C21"/>
    <w:rsid w:val="000065E0"/>
    <w:rsid w:val="00007588"/>
    <w:rsid w:val="0001029D"/>
    <w:rsid w:val="00010D8A"/>
    <w:rsid w:val="00013700"/>
    <w:rsid w:val="000173CC"/>
    <w:rsid w:val="000174AF"/>
    <w:rsid w:val="00021B41"/>
    <w:rsid w:val="00022C3E"/>
    <w:rsid w:val="000230B8"/>
    <w:rsid w:val="000237AF"/>
    <w:rsid w:val="000241FC"/>
    <w:rsid w:val="0002444B"/>
    <w:rsid w:val="00024E30"/>
    <w:rsid w:val="00027518"/>
    <w:rsid w:val="0003437C"/>
    <w:rsid w:val="0003486C"/>
    <w:rsid w:val="000360AB"/>
    <w:rsid w:val="00036607"/>
    <w:rsid w:val="00037066"/>
    <w:rsid w:val="00040223"/>
    <w:rsid w:val="000461CF"/>
    <w:rsid w:val="00046F3E"/>
    <w:rsid w:val="00055C19"/>
    <w:rsid w:val="000567D7"/>
    <w:rsid w:val="000575AE"/>
    <w:rsid w:val="0006169F"/>
    <w:rsid w:val="00067BAF"/>
    <w:rsid w:val="00070275"/>
    <w:rsid w:val="000708B6"/>
    <w:rsid w:val="00070A16"/>
    <w:rsid w:val="00072416"/>
    <w:rsid w:val="00072519"/>
    <w:rsid w:val="00076664"/>
    <w:rsid w:val="0008037B"/>
    <w:rsid w:val="00082F76"/>
    <w:rsid w:val="00082F99"/>
    <w:rsid w:val="00086559"/>
    <w:rsid w:val="0009060F"/>
    <w:rsid w:val="00090F00"/>
    <w:rsid w:val="00091ADD"/>
    <w:rsid w:val="00091C6F"/>
    <w:rsid w:val="0009259C"/>
    <w:rsid w:val="00095333"/>
    <w:rsid w:val="00095B67"/>
    <w:rsid w:val="000969C0"/>
    <w:rsid w:val="0009758A"/>
    <w:rsid w:val="00097C32"/>
    <w:rsid w:val="000A0C6E"/>
    <w:rsid w:val="000A36D8"/>
    <w:rsid w:val="000B2927"/>
    <w:rsid w:val="000B4826"/>
    <w:rsid w:val="000B517A"/>
    <w:rsid w:val="000B65C4"/>
    <w:rsid w:val="000B7892"/>
    <w:rsid w:val="000C1594"/>
    <w:rsid w:val="000C15E1"/>
    <w:rsid w:val="000C3A1D"/>
    <w:rsid w:val="000C496A"/>
    <w:rsid w:val="000C530F"/>
    <w:rsid w:val="000C5F82"/>
    <w:rsid w:val="000C5FC2"/>
    <w:rsid w:val="000D1215"/>
    <w:rsid w:val="000D3C3D"/>
    <w:rsid w:val="000D431A"/>
    <w:rsid w:val="000D52AD"/>
    <w:rsid w:val="000D69FC"/>
    <w:rsid w:val="000D75E3"/>
    <w:rsid w:val="000D7B90"/>
    <w:rsid w:val="000E04FE"/>
    <w:rsid w:val="000E101B"/>
    <w:rsid w:val="000E3A46"/>
    <w:rsid w:val="000E4544"/>
    <w:rsid w:val="000E45CE"/>
    <w:rsid w:val="000E5281"/>
    <w:rsid w:val="000E632D"/>
    <w:rsid w:val="000E701D"/>
    <w:rsid w:val="000F0059"/>
    <w:rsid w:val="000F02E6"/>
    <w:rsid w:val="000F0CC7"/>
    <w:rsid w:val="000F1679"/>
    <w:rsid w:val="000F2325"/>
    <w:rsid w:val="000F29E9"/>
    <w:rsid w:val="000F39CE"/>
    <w:rsid w:val="000F5BC0"/>
    <w:rsid w:val="00100568"/>
    <w:rsid w:val="0010073A"/>
    <w:rsid w:val="001008FC"/>
    <w:rsid w:val="00104E6B"/>
    <w:rsid w:val="00106BE1"/>
    <w:rsid w:val="00110334"/>
    <w:rsid w:val="00110AB6"/>
    <w:rsid w:val="00111531"/>
    <w:rsid w:val="0011230A"/>
    <w:rsid w:val="001134B5"/>
    <w:rsid w:val="00114201"/>
    <w:rsid w:val="00120066"/>
    <w:rsid w:val="0012081E"/>
    <w:rsid w:val="001215BD"/>
    <w:rsid w:val="00122F4C"/>
    <w:rsid w:val="0012350C"/>
    <w:rsid w:val="00123E05"/>
    <w:rsid w:val="00124AE7"/>
    <w:rsid w:val="001253CD"/>
    <w:rsid w:val="00125D8B"/>
    <w:rsid w:val="00125E1F"/>
    <w:rsid w:val="0012636A"/>
    <w:rsid w:val="00130834"/>
    <w:rsid w:val="00130A91"/>
    <w:rsid w:val="00130F3C"/>
    <w:rsid w:val="0013146F"/>
    <w:rsid w:val="00131656"/>
    <w:rsid w:val="00134C44"/>
    <w:rsid w:val="001360A2"/>
    <w:rsid w:val="001372FF"/>
    <w:rsid w:val="00137CC3"/>
    <w:rsid w:val="00137CFE"/>
    <w:rsid w:val="00142502"/>
    <w:rsid w:val="00145328"/>
    <w:rsid w:val="0014717C"/>
    <w:rsid w:val="0015258E"/>
    <w:rsid w:val="00152861"/>
    <w:rsid w:val="0015294C"/>
    <w:rsid w:val="00152C39"/>
    <w:rsid w:val="00152CDF"/>
    <w:rsid w:val="001540A3"/>
    <w:rsid w:val="0015495C"/>
    <w:rsid w:val="00156A5B"/>
    <w:rsid w:val="00156ACF"/>
    <w:rsid w:val="001613C1"/>
    <w:rsid w:val="00161BE7"/>
    <w:rsid w:val="00166130"/>
    <w:rsid w:val="001670F3"/>
    <w:rsid w:val="0017022F"/>
    <w:rsid w:val="001708C8"/>
    <w:rsid w:val="001716C8"/>
    <w:rsid w:val="00176D4D"/>
    <w:rsid w:val="001815E3"/>
    <w:rsid w:val="0018195F"/>
    <w:rsid w:val="001829F4"/>
    <w:rsid w:val="001833BD"/>
    <w:rsid w:val="00183CD7"/>
    <w:rsid w:val="00183D52"/>
    <w:rsid w:val="001848FB"/>
    <w:rsid w:val="00184F6F"/>
    <w:rsid w:val="00186075"/>
    <w:rsid w:val="0018666A"/>
    <w:rsid w:val="00192875"/>
    <w:rsid w:val="001935B3"/>
    <w:rsid w:val="00193732"/>
    <w:rsid w:val="00193964"/>
    <w:rsid w:val="001951E9"/>
    <w:rsid w:val="00195317"/>
    <w:rsid w:val="00196301"/>
    <w:rsid w:val="001963E5"/>
    <w:rsid w:val="001A241A"/>
    <w:rsid w:val="001A283F"/>
    <w:rsid w:val="001A34F1"/>
    <w:rsid w:val="001A584B"/>
    <w:rsid w:val="001A6734"/>
    <w:rsid w:val="001B0915"/>
    <w:rsid w:val="001B16DB"/>
    <w:rsid w:val="001B1EC2"/>
    <w:rsid w:val="001B35D5"/>
    <w:rsid w:val="001B3693"/>
    <w:rsid w:val="001B419C"/>
    <w:rsid w:val="001B7B9E"/>
    <w:rsid w:val="001B7D0C"/>
    <w:rsid w:val="001C0DE8"/>
    <w:rsid w:val="001C2214"/>
    <w:rsid w:val="001C2446"/>
    <w:rsid w:val="001C3133"/>
    <w:rsid w:val="001C37BB"/>
    <w:rsid w:val="001C3CB0"/>
    <w:rsid w:val="001C5504"/>
    <w:rsid w:val="001C5E25"/>
    <w:rsid w:val="001C7858"/>
    <w:rsid w:val="001C7EB7"/>
    <w:rsid w:val="001D1809"/>
    <w:rsid w:val="001D30F3"/>
    <w:rsid w:val="001D3735"/>
    <w:rsid w:val="001D50C4"/>
    <w:rsid w:val="001D514A"/>
    <w:rsid w:val="001D5F0C"/>
    <w:rsid w:val="001D68B2"/>
    <w:rsid w:val="001E2370"/>
    <w:rsid w:val="001E3AA2"/>
    <w:rsid w:val="001E4065"/>
    <w:rsid w:val="001E58B9"/>
    <w:rsid w:val="001E58E1"/>
    <w:rsid w:val="001F1531"/>
    <w:rsid w:val="001F19D5"/>
    <w:rsid w:val="001F28A2"/>
    <w:rsid w:val="001F4A34"/>
    <w:rsid w:val="001F6E14"/>
    <w:rsid w:val="00201CDC"/>
    <w:rsid w:val="002047EB"/>
    <w:rsid w:val="00205862"/>
    <w:rsid w:val="0021005F"/>
    <w:rsid w:val="00211C7E"/>
    <w:rsid w:val="002121F0"/>
    <w:rsid w:val="00212D93"/>
    <w:rsid w:val="0021745D"/>
    <w:rsid w:val="00220136"/>
    <w:rsid w:val="00223551"/>
    <w:rsid w:val="00226F3F"/>
    <w:rsid w:val="002275AE"/>
    <w:rsid w:val="002330B9"/>
    <w:rsid w:val="0023628A"/>
    <w:rsid w:val="002370C8"/>
    <w:rsid w:val="00240B92"/>
    <w:rsid w:val="00240CEA"/>
    <w:rsid w:val="00241762"/>
    <w:rsid w:val="00241FAA"/>
    <w:rsid w:val="002437F8"/>
    <w:rsid w:val="00243AA9"/>
    <w:rsid w:val="002463F2"/>
    <w:rsid w:val="00246A6F"/>
    <w:rsid w:val="00246EBD"/>
    <w:rsid w:val="00250457"/>
    <w:rsid w:val="00250CBE"/>
    <w:rsid w:val="00252D3B"/>
    <w:rsid w:val="0025561D"/>
    <w:rsid w:val="0026148D"/>
    <w:rsid w:val="0026305E"/>
    <w:rsid w:val="002632B0"/>
    <w:rsid w:val="002647E4"/>
    <w:rsid w:val="0026580A"/>
    <w:rsid w:val="00267015"/>
    <w:rsid w:val="00267528"/>
    <w:rsid w:val="00267C7D"/>
    <w:rsid w:val="00270A3D"/>
    <w:rsid w:val="00272A33"/>
    <w:rsid w:val="00272DE3"/>
    <w:rsid w:val="002752C5"/>
    <w:rsid w:val="00277C38"/>
    <w:rsid w:val="00277C90"/>
    <w:rsid w:val="00280B28"/>
    <w:rsid w:val="002812DD"/>
    <w:rsid w:val="00284954"/>
    <w:rsid w:val="00287E6A"/>
    <w:rsid w:val="00290371"/>
    <w:rsid w:val="00290EC3"/>
    <w:rsid w:val="00291F4F"/>
    <w:rsid w:val="002968F4"/>
    <w:rsid w:val="002A1A40"/>
    <w:rsid w:val="002A474E"/>
    <w:rsid w:val="002A494F"/>
    <w:rsid w:val="002A6501"/>
    <w:rsid w:val="002A7820"/>
    <w:rsid w:val="002B0DCC"/>
    <w:rsid w:val="002B17B7"/>
    <w:rsid w:val="002B1A36"/>
    <w:rsid w:val="002B1B75"/>
    <w:rsid w:val="002B747B"/>
    <w:rsid w:val="002B79D9"/>
    <w:rsid w:val="002C1855"/>
    <w:rsid w:val="002C19E7"/>
    <w:rsid w:val="002C2CB7"/>
    <w:rsid w:val="002C319C"/>
    <w:rsid w:val="002C465D"/>
    <w:rsid w:val="002C48EC"/>
    <w:rsid w:val="002C7243"/>
    <w:rsid w:val="002C7ED7"/>
    <w:rsid w:val="002D027F"/>
    <w:rsid w:val="002D2A95"/>
    <w:rsid w:val="002D2CD4"/>
    <w:rsid w:val="002D3061"/>
    <w:rsid w:val="002D32EE"/>
    <w:rsid w:val="002D4301"/>
    <w:rsid w:val="002D4B78"/>
    <w:rsid w:val="002D7603"/>
    <w:rsid w:val="002E019D"/>
    <w:rsid w:val="002E13F1"/>
    <w:rsid w:val="002E648C"/>
    <w:rsid w:val="002E654F"/>
    <w:rsid w:val="002F083A"/>
    <w:rsid w:val="002F0D75"/>
    <w:rsid w:val="002F1BA9"/>
    <w:rsid w:val="002F3C7E"/>
    <w:rsid w:val="002F5995"/>
    <w:rsid w:val="00300614"/>
    <w:rsid w:val="00300626"/>
    <w:rsid w:val="00301927"/>
    <w:rsid w:val="00303474"/>
    <w:rsid w:val="00303C06"/>
    <w:rsid w:val="003050DB"/>
    <w:rsid w:val="00305347"/>
    <w:rsid w:val="00305582"/>
    <w:rsid w:val="00307018"/>
    <w:rsid w:val="003075E4"/>
    <w:rsid w:val="003102E7"/>
    <w:rsid w:val="00310341"/>
    <w:rsid w:val="003119DD"/>
    <w:rsid w:val="00313858"/>
    <w:rsid w:val="0031481C"/>
    <w:rsid w:val="00315127"/>
    <w:rsid w:val="003160B9"/>
    <w:rsid w:val="00316499"/>
    <w:rsid w:val="00317A48"/>
    <w:rsid w:val="00320839"/>
    <w:rsid w:val="00320D97"/>
    <w:rsid w:val="0032359F"/>
    <w:rsid w:val="003241B6"/>
    <w:rsid w:val="00324254"/>
    <w:rsid w:val="00324E8C"/>
    <w:rsid w:val="00325922"/>
    <w:rsid w:val="00326180"/>
    <w:rsid w:val="003269DB"/>
    <w:rsid w:val="00327E42"/>
    <w:rsid w:val="00330CE6"/>
    <w:rsid w:val="00331FCF"/>
    <w:rsid w:val="00332228"/>
    <w:rsid w:val="00332B2A"/>
    <w:rsid w:val="00333C00"/>
    <w:rsid w:val="00335398"/>
    <w:rsid w:val="00337FB8"/>
    <w:rsid w:val="003417DE"/>
    <w:rsid w:val="00341B7B"/>
    <w:rsid w:val="00342E96"/>
    <w:rsid w:val="003436A2"/>
    <w:rsid w:val="00344AB6"/>
    <w:rsid w:val="003457E5"/>
    <w:rsid w:val="00345CD6"/>
    <w:rsid w:val="003463B6"/>
    <w:rsid w:val="003464BE"/>
    <w:rsid w:val="00346922"/>
    <w:rsid w:val="00347058"/>
    <w:rsid w:val="00347840"/>
    <w:rsid w:val="00347AB7"/>
    <w:rsid w:val="00351583"/>
    <w:rsid w:val="00352CFC"/>
    <w:rsid w:val="00357046"/>
    <w:rsid w:val="00357F5B"/>
    <w:rsid w:val="00363597"/>
    <w:rsid w:val="0036513D"/>
    <w:rsid w:val="0036553E"/>
    <w:rsid w:val="00366E62"/>
    <w:rsid w:val="00372544"/>
    <w:rsid w:val="00373058"/>
    <w:rsid w:val="003735E1"/>
    <w:rsid w:val="00373A39"/>
    <w:rsid w:val="00374A73"/>
    <w:rsid w:val="00380D74"/>
    <w:rsid w:val="0038133D"/>
    <w:rsid w:val="00381434"/>
    <w:rsid w:val="003825E9"/>
    <w:rsid w:val="0038504C"/>
    <w:rsid w:val="00385EC0"/>
    <w:rsid w:val="003861D5"/>
    <w:rsid w:val="0038773B"/>
    <w:rsid w:val="003878CC"/>
    <w:rsid w:val="00387BC8"/>
    <w:rsid w:val="003917CA"/>
    <w:rsid w:val="00392CA4"/>
    <w:rsid w:val="00392FE3"/>
    <w:rsid w:val="00395E38"/>
    <w:rsid w:val="003967FF"/>
    <w:rsid w:val="00396846"/>
    <w:rsid w:val="00397BCD"/>
    <w:rsid w:val="003A0CB7"/>
    <w:rsid w:val="003A6697"/>
    <w:rsid w:val="003A7281"/>
    <w:rsid w:val="003B03C8"/>
    <w:rsid w:val="003B05CE"/>
    <w:rsid w:val="003B070D"/>
    <w:rsid w:val="003B0A0A"/>
    <w:rsid w:val="003B0B28"/>
    <w:rsid w:val="003B24D8"/>
    <w:rsid w:val="003B3323"/>
    <w:rsid w:val="003B3EFD"/>
    <w:rsid w:val="003B4FEF"/>
    <w:rsid w:val="003B6646"/>
    <w:rsid w:val="003B74DD"/>
    <w:rsid w:val="003B7FA8"/>
    <w:rsid w:val="003C141E"/>
    <w:rsid w:val="003C1DA2"/>
    <w:rsid w:val="003C2B47"/>
    <w:rsid w:val="003C6346"/>
    <w:rsid w:val="003C688C"/>
    <w:rsid w:val="003D0C69"/>
    <w:rsid w:val="003D3298"/>
    <w:rsid w:val="003D36E4"/>
    <w:rsid w:val="003D7A75"/>
    <w:rsid w:val="003E0C22"/>
    <w:rsid w:val="003E1D3F"/>
    <w:rsid w:val="003E3513"/>
    <w:rsid w:val="003E45C6"/>
    <w:rsid w:val="003E5320"/>
    <w:rsid w:val="003E6E29"/>
    <w:rsid w:val="003F0593"/>
    <w:rsid w:val="003F1F20"/>
    <w:rsid w:val="003F1F69"/>
    <w:rsid w:val="003F2778"/>
    <w:rsid w:val="003F4784"/>
    <w:rsid w:val="003F5294"/>
    <w:rsid w:val="003F7C14"/>
    <w:rsid w:val="00402112"/>
    <w:rsid w:val="00403818"/>
    <w:rsid w:val="00404955"/>
    <w:rsid w:val="00404C2C"/>
    <w:rsid w:val="0040564C"/>
    <w:rsid w:val="00407E1A"/>
    <w:rsid w:val="00411FC6"/>
    <w:rsid w:val="004122F7"/>
    <w:rsid w:val="00413316"/>
    <w:rsid w:val="00413579"/>
    <w:rsid w:val="00414F5D"/>
    <w:rsid w:val="00414FC6"/>
    <w:rsid w:val="004158A1"/>
    <w:rsid w:val="00415DCE"/>
    <w:rsid w:val="00423E03"/>
    <w:rsid w:val="00426B52"/>
    <w:rsid w:val="004277B4"/>
    <w:rsid w:val="004279A3"/>
    <w:rsid w:val="004301A0"/>
    <w:rsid w:val="004317F1"/>
    <w:rsid w:val="00432350"/>
    <w:rsid w:val="00433FF1"/>
    <w:rsid w:val="00434D26"/>
    <w:rsid w:val="00435774"/>
    <w:rsid w:val="0043729C"/>
    <w:rsid w:val="0044279D"/>
    <w:rsid w:val="00443874"/>
    <w:rsid w:val="00446316"/>
    <w:rsid w:val="00447207"/>
    <w:rsid w:val="00447C2B"/>
    <w:rsid w:val="00450386"/>
    <w:rsid w:val="00450AD0"/>
    <w:rsid w:val="00451F36"/>
    <w:rsid w:val="00456671"/>
    <w:rsid w:val="00462001"/>
    <w:rsid w:val="004630C3"/>
    <w:rsid w:val="0046663C"/>
    <w:rsid w:val="00466C16"/>
    <w:rsid w:val="0046778D"/>
    <w:rsid w:val="004710CB"/>
    <w:rsid w:val="00471226"/>
    <w:rsid w:val="00471F1E"/>
    <w:rsid w:val="004724FD"/>
    <w:rsid w:val="00474CF2"/>
    <w:rsid w:val="004753A5"/>
    <w:rsid w:val="00477A4F"/>
    <w:rsid w:val="00482127"/>
    <w:rsid w:val="00482400"/>
    <w:rsid w:val="0048434E"/>
    <w:rsid w:val="004865B8"/>
    <w:rsid w:val="0048726C"/>
    <w:rsid w:val="00492028"/>
    <w:rsid w:val="00493B44"/>
    <w:rsid w:val="0049531D"/>
    <w:rsid w:val="00495394"/>
    <w:rsid w:val="0049577B"/>
    <w:rsid w:val="00495A09"/>
    <w:rsid w:val="00496366"/>
    <w:rsid w:val="00496593"/>
    <w:rsid w:val="00497067"/>
    <w:rsid w:val="00497BB1"/>
    <w:rsid w:val="004A0A94"/>
    <w:rsid w:val="004A1B4A"/>
    <w:rsid w:val="004A28C7"/>
    <w:rsid w:val="004A4558"/>
    <w:rsid w:val="004A580A"/>
    <w:rsid w:val="004A6537"/>
    <w:rsid w:val="004A6930"/>
    <w:rsid w:val="004A7559"/>
    <w:rsid w:val="004A7920"/>
    <w:rsid w:val="004B01B6"/>
    <w:rsid w:val="004B3ECD"/>
    <w:rsid w:val="004B707A"/>
    <w:rsid w:val="004C1B2B"/>
    <w:rsid w:val="004C4725"/>
    <w:rsid w:val="004C4B58"/>
    <w:rsid w:val="004C647E"/>
    <w:rsid w:val="004D0DB0"/>
    <w:rsid w:val="004D187D"/>
    <w:rsid w:val="004D66B5"/>
    <w:rsid w:val="004D6761"/>
    <w:rsid w:val="004E0ED2"/>
    <w:rsid w:val="004E1795"/>
    <w:rsid w:val="004E6218"/>
    <w:rsid w:val="004E7B10"/>
    <w:rsid w:val="004E7C2E"/>
    <w:rsid w:val="004F0213"/>
    <w:rsid w:val="004F1081"/>
    <w:rsid w:val="004F27FF"/>
    <w:rsid w:val="004F307B"/>
    <w:rsid w:val="004F471A"/>
    <w:rsid w:val="00502932"/>
    <w:rsid w:val="00504533"/>
    <w:rsid w:val="0050548E"/>
    <w:rsid w:val="005061EC"/>
    <w:rsid w:val="00507EC3"/>
    <w:rsid w:val="00511ECF"/>
    <w:rsid w:val="00512EE8"/>
    <w:rsid w:val="00513C0C"/>
    <w:rsid w:val="0051585A"/>
    <w:rsid w:val="005160CB"/>
    <w:rsid w:val="00517C81"/>
    <w:rsid w:val="00522999"/>
    <w:rsid w:val="00522CEB"/>
    <w:rsid w:val="00523111"/>
    <w:rsid w:val="005265D9"/>
    <w:rsid w:val="00527BC1"/>
    <w:rsid w:val="00527C45"/>
    <w:rsid w:val="00531541"/>
    <w:rsid w:val="005321A9"/>
    <w:rsid w:val="00532B32"/>
    <w:rsid w:val="0053301E"/>
    <w:rsid w:val="00535B50"/>
    <w:rsid w:val="00535E52"/>
    <w:rsid w:val="005365B4"/>
    <w:rsid w:val="005367A3"/>
    <w:rsid w:val="005402F8"/>
    <w:rsid w:val="00542776"/>
    <w:rsid w:val="00543098"/>
    <w:rsid w:val="00545FFE"/>
    <w:rsid w:val="0055443C"/>
    <w:rsid w:val="005555AA"/>
    <w:rsid w:val="00556483"/>
    <w:rsid w:val="005566F0"/>
    <w:rsid w:val="00556F4D"/>
    <w:rsid w:val="00557623"/>
    <w:rsid w:val="005615CB"/>
    <w:rsid w:val="00565243"/>
    <w:rsid w:val="00567613"/>
    <w:rsid w:val="005708BC"/>
    <w:rsid w:val="0057090B"/>
    <w:rsid w:val="00570CEB"/>
    <w:rsid w:val="005710CF"/>
    <w:rsid w:val="00574F18"/>
    <w:rsid w:val="00574FCA"/>
    <w:rsid w:val="00576B8F"/>
    <w:rsid w:val="005803B9"/>
    <w:rsid w:val="00583112"/>
    <w:rsid w:val="0058508B"/>
    <w:rsid w:val="00586F8C"/>
    <w:rsid w:val="00590793"/>
    <w:rsid w:val="00590B4A"/>
    <w:rsid w:val="00591F5F"/>
    <w:rsid w:val="005958DA"/>
    <w:rsid w:val="005963E5"/>
    <w:rsid w:val="00597D58"/>
    <w:rsid w:val="005A0703"/>
    <w:rsid w:val="005A27E9"/>
    <w:rsid w:val="005A3258"/>
    <w:rsid w:val="005A51ED"/>
    <w:rsid w:val="005A55AF"/>
    <w:rsid w:val="005B0747"/>
    <w:rsid w:val="005B2F6C"/>
    <w:rsid w:val="005B4F79"/>
    <w:rsid w:val="005B6286"/>
    <w:rsid w:val="005B7077"/>
    <w:rsid w:val="005B73D3"/>
    <w:rsid w:val="005B7B49"/>
    <w:rsid w:val="005C1175"/>
    <w:rsid w:val="005C1F26"/>
    <w:rsid w:val="005C79FC"/>
    <w:rsid w:val="005C7D89"/>
    <w:rsid w:val="005D04B9"/>
    <w:rsid w:val="005D08F0"/>
    <w:rsid w:val="005D46AA"/>
    <w:rsid w:val="005D7496"/>
    <w:rsid w:val="005E4249"/>
    <w:rsid w:val="005E5ED8"/>
    <w:rsid w:val="005E65E4"/>
    <w:rsid w:val="005E6610"/>
    <w:rsid w:val="005F00B1"/>
    <w:rsid w:val="005F0B05"/>
    <w:rsid w:val="005F1454"/>
    <w:rsid w:val="005F65E1"/>
    <w:rsid w:val="005F751F"/>
    <w:rsid w:val="0060162F"/>
    <w:rsid w:val="006047F4"/>
    <w:rsid w:val="00605C50"/>
    <w:rsid w:val="00606F7B"/>
    <w:rsid w:val="00611BDC"/>
    <w:rsid w:val="006127D1"/>
    <w:rsid w:val="00612AFF"/>
    <w:rsid w:val="0061398B"/>
    <w:rsid w:val="006171E1"/>
    <w:rsid w:val="00620AA4"/>
    <w:rsid w:val="00621E04"/>
    <w:rsid w:val="006242A8"/>
    <w:rsid w:val="00624354"/>
    <w:rsid w:val="006244E7"/>
    <w:rsid w:val="00626AB8"/>
    <w:rsid w:val="00631C94"/>
    <w:rsid w:val="00632712"/>
    <w:rsid w:val="00632DEA"/>
    <w:rsid w:val="0063376A"/>
    <w:rsid w:val="00634449"/>
    <w:rsid w:val="0063459B"/>
    <w:rsid w:val="00635062"/>
    <w:rsid w:val="00635965"/>
    <w:rsid w:val="006364AD"/>
    <w:rsid w:val="006404FC"/>
    <w:rsid w:val="006416D3"/>
    <w:rsid w:val="006418A3"/>
    <w:rsid w:val="0064486F"/>
    <w:rsid w:val="006453D5"/>
    <w:rsid w:val="0064597F"/>
    <w:rsid w:val="00645AE6"/>
    <w:rsid w:val="00646EAF"/>
    <w:rsid w:val="00647503"/>
    <w:rsid w:val="00647DED"/>
    <w:rsid w:val="00652A91"/>
    <w:rsid w:val="00653F6C"/>
    <w:rsid w:val="006560D1"/>
    <w:rsid w:val="00656B37"/>
    <w:rsid w:val="006579BA"/>
    <w:rsid w:val="0066019E"/>
    <w:rsid w:val="00661B9D"/>
    <w:rsid w:val="00663223"/>
    <w:rsid w:val="0066348D"/>
    <w:rsid w:val="00663514"/>
    <w:rsid w:val="006640EA"/>
    <w:rsid w:val="0066567B"/>
    <w:rsid w:val="00666738"/>
    <w:rsid w:val="006723F0"/>
    <w:rsid w:val="006726E1"/>
    <w:rsid w:val="00673826"/>
    <w:rsid w:val="006749BE"/>
    <w:rsid w:val="006764BC"/>
    <w:rsid w:val="00676F81"/>
    <w:rsid w:val="0068013E"/>
    <w:rsid w:val="00680F90"/>
    <w:rsid w:val="006813E0"/>
    <w:rsid w:val="006818E0"/>
    <w:rsid w:val="0068293E"/>
    <w:rsid w:val="0068389D"/>
    <w:rsid w:val="00685372"/>
    <w:rsid w:val="00685AC9"/>
    <w:rsid w:val="006876FF"/>
    <w:rsid w:val="00687EDA"/>
    <w:rsid w:val="00692E8A"/>
    <w:rsid w:val="00694526"/>
    <w:rsid w:val="00694C4B"/>
    <w:rsid w:val="00695C44"/>
    <w:rsid w:val="00695F0E"/>
    <w:rsid w:val="006969E0"/>
    <w:rsid w:val="006A1F9B"/>
    <w:rsid w:val="006A27C9"/>
    <w:rsid w:val="006A2F8B"/>
    <w:rsid w:val="006A34C4"/>
    <w:rsid w:val="006A4A2E"/>
    <w:rsid w:val="006A4AF1"/>
    <w:rsid w:val="006A5845"/>
    <w:rsid w:val="006A5D0E"/>
    <w:rsid w:val="006A72B3"/>
    <w:rsid w:val="006A7C75"/>
    <w:rsid w:val="006B14CD"/>
    <w:rsid w:val="006B1EF8"/>
    <w:rsid w:val="006B27E1"/>
    <w:rsid w:val="006B347C"/>
    <w:rsid w:val="006B56CA"/>
    <w:rsid w:val="006B640C"/>
    <w:rsid w:val="006C0087"/>
    <w:rsid w:val="006C011E"/>
    <w:rsid w:val="006C106D"/>
    <w:rsid w:val="006C1580"/>
    <w:rsid w:val="006C25B7"/>
    <w:rsid w:val="006C2BF2"/>
    <w:rsid w:val="006C430F"/>
    <w:rsid w:val="006C4966"/>
    <w:rsid w:val="006C4F22"/>
    <w:rsid w:val="006C523E"/>
    <w:rsid w:val="006C5DAE"/>
    <w:rsid w:val="006C6985"/>
    <w:rsid w:val="006D226A"/>
    <w:rsid w:val="006D2386"/>
    <w:rsid w:val="006D2753"/>
    <w:rsid w:val="006D2A5E"/>
    <w:rsid w:val="006D4054"/>
    <w:rsid w:val="006D466C"/>
    <w:rsid w:val="006D4875"/>
    <w:rsid w:val="006D56F4"/>
    <w:rsid w:val="006E1614"/>
    <w:rsid w:val="006E2628"/>
    <w:rsid w:val="006E3713"/>
    <w:rsid w:val="006E4E66"/>
    <w:rsid w:val="006F01A3"/>
    <w:rsid w:val="006F0491"/>
    <w:rsid w:val="006F13B3"/>
    <w:rsid w:val="006F40C1"/>
    <w:rsid w:val="006F6BB3"/>
    <w:rsid w:val="006F7068"/>
    <w:rsid w:val="006F7FA3"/>
    <w:rsid w:val="006F7FA8"/>
    <w:rsid w:val="007016B9"/>
    <w:rsid w:val="007029CD"/>
    <w:rsid w:val="00703202"/>
    <w:rsid w:val="0070364B"/>
    <w:rsid w:val="00703E05"/>
    <w:rsid w:val="0070490E"/>
    <w:rsid w:val="00705C4D"/>
    <w:rsid w:val="00713060"/>
    <w:rsid w:val="00714087"/>
    <w:rsid w:val="0071440F"/>
    <w:rsid w:val="00714BE8"/>
    <w:rsid w:val="0071558B"/>
    <w:rsid w:val="00716718"/>
    <w:rsid w:val="0071782F"/>
    <w:rsid w:val="00720802"/>
    <w:rsid w:val="007229E0"/>
    <w:rsid w:val="00722FB5"/>
    <w:rsid w:val="0072315E"/>
    <w:rsid w:val="00723F42"/>
    <w:rsid w:val="007251D1"/>
    <w:rsid w:val="0072582B"/>
    <w:rsid w:val="007274E7"/>
    <w:rsid w:val="007301E0"/>
    <w:rsid w:val="00735C96"/>
    <w:rsid w:val="00735E58"/>
    <w:rsid w:val="007368EB"/>
    <w:rsid w:val="0073722A"/>
    <w:rsid w:val="007375F6"/>
    <w:rsid w:val="007400F9"/>
    <w:rsid w:val="0074150F"/>
    <w:rsid w:val="00742FBC"/>
    <w:rsid w:val="007435E9"/>
    <w:rsid w:val="00743C27"/>
    <w:rsid w:val="00743CF2"/>
    <w:rsid w:val="00744921"/>
    <w:rsid w:val="00746EA6"/>
    <w:rsid w:val="00752069"/>
    <w:rsid w:val="00752E8F"/>
    <w:rsid w:val="00754149"/>
    <w:rsid w:val="00756EB0"/>
    <w:rsid w:val="00757AB0"/>
    <w:rsid w:val="00760B80"/>
    <w:rsid w:val="0076119C"/>
    <w:rsid w:val="00762100"/>
    <w:rsid w:val="00763FB0"/>
    <w:rsid w:val="00764E0E"/>
    <w:rsid w:val="00767419"/>
    <w:rsid w:val="007714AF"/>
    <w:rsid w:val="007732E1"/>
    <w:rsid w:val="00773BF7"/>
    <w:rsid w:val="00774081"/>
    <w:rsid w:val="00774B4E"/>
    <w:rsid w:val="00780545"/>
    <w:rsid w:val="00781557"/>
    <w:rsid w:val="00781F99"/>
    <w:rsid w:val="0078393B"/>
    <w:rsid w:val="00783EB1"/>
    <w:rsid w:val="00784000"/>
    <w:rsid w:val="00785408"/>
    <w:rsid w:val="00785FB6"/>
    <w:rsid w:val="007877B7"/>
    <w:rsid w:val="0079293A"/>
    <w:rsid w:val="007931C9"/>
    <w:rsid w:val="00793CCE"/>
    <w:rsid w:val="00794A34"/>
    <w:rsid w:val="00795429"/>
    <w:rsid w:val="00796DF6"/>
    <w:rsid w:val="00796E0F"/>
    <w:rsid w:val="007A168E"/>
    <w:rsid w:val="007A2BD2"/>
    <w:rsid w:val="007A37C6"/>
    <w:rsid w:val="007A47B8"/>
    <w:rsid w:val="007A5A74"/>
    <w:rsid w:val="007A7C24"/>
    <w:rsid w:val="007B0336"/>
    <w:rsid w:val="007B0491"/>
    <w:rsid w:val="007B1E67"/>
    <w:rsid w:val="007B362C"/>
    <w:rsid w:val="007B3E0A"/>
    <w:rsid w:val="007B3FD4"/>
    <w:rsid w:val="007B42D7"/>
    <w:rsid w:val="007B4750"/>
    <w:rsid w:val="007B60C7"/>
    <w:rsid w:val="007B68C0"/>
    <w:rsid w:val="007B7F55"/>
    <w:rsid w:val="007B7F9B"/>
    <w:rsid w:val="007C0302"/>
    <w:rsid w:val="007C14FC"/>
    <w:rsid w:val="007C2E90"/>
    <w:rsid w:val="007C5306"/>
    <w:rsid w:val="007C5E0C"/>
    <w:rsid w:val="007C6CF2"/>
    <w:rsid w:val="007C79F6"/>
    <w:rsid w:val="007C7F20"/>
    <w:rsid w:val="007D1E29"/>
    <w:rsid w:val="007D1EC5"/>
    <w:rsid w:val="007D205C"/>
    <w:rsid w:val="007D2C7B"/>
    <w:rsid w:val="007D2EB9"/>
    <w:rsid w:val="007D4AAE"/>
    <w:rsid w:val="007D63EA"/>
    <w:rsid w:val="007D7216"/>
    <w:rsid w:val="007D755A"/>
    <w:rsid w:val="007D7D1F"/>
    <w:rsid w:val="007E2299"/>
    <w:rsid w:val="007E7684"/>
    <w:rsid w:val="007F042E"/>
    <w:rsid w:val="007F0EB4"/>
    <w:rsid w:val="007F1244"/>
    <w:rsid w:val="007F1883"/>
    <w:rsid w:val="007F2D64"/>
    <w:rsid w:val="007F3C16"/>
    <w:rsid w:val="007F475F"/>
    <w:rsid w:val="007F4D77"/>
    <w:rsid w:val="007F62CD"/>
    <w:rsid w:val="007F6E6E"/>
    <w:rsid w:val="008008A2"/>
    <w:rsid w:val="00801C56"/>
    <w:rsid w:val="00801D24"/>
    <w:rsid w:val="00802237"/>
    <w:rsid w:val="008038E0"/>
    <w:rsid w:val="00806966"/>
    <w:rsid w:val="00806E2E"/>
    <w:rsid w:val="008103C8"/>
    <w:rsid w:val="008113E1"/>
    <w:rsid w:val="0081243F"/>
    <w:rsid w:val="00812B69"/>
    <w:rsid w:val="00813E59"/>
    <w:rsid w:val="008147DA"/>
    <w:rsid w:val="00815553"/>
    <w:rsid w:val="00816476"/>
    <w:rsid w:val="008169E8"/>
    <w:rsid w:val="008171EE"/>
    <w:rsid w:val="00820EC1"/>
    <w:rsid w:val="0082187E"/>
    <w:rsid w:val="0082280A"/>
    <w:rsid w:val="00822831"/>
    <w:rsid w:val="00824BF7"/>
    <w:rsid w:val="00824D82"/>
    <w:rsid w:val="00827750"/>
    <w:rsid w:val="008309B5"/>
    <w:rsid w:val="0083352F"/>
    <w:rsid w:val="00834F06"/>
    <w:rsid w:val="00835065"/>
    <w:rsid w:val="0083589D"/>
    <w:rsid w:val="00836EB4"/>
    <w:rsid w:val="00837F15"/>
    <w:rsid w:val="00841490"/>
    <w:rsid w:val="008419B8"/>
    <w:rsid w:val="0084298A"/>
    <w:rsid w:val="00843D52"/>
    <w:rsid w:val="00847141"/>
    <w:rsid w:val="0085159F"/>
    <w:rsid w:val="00852521"/>
    <w:rsid w:val="00853AEE"/>
    <w:rsid w:val="00853E26"/>
    <w:rsid w:val="00854DFE"/>
    <w:rsid w:val="00856397"/>
    <w:rsid w:val="00857C8A"/>
    <w:rsid w:val="00861A75"/>
    <w:rsid w:val="00861B4D"/>
    <w:rsid w:val="008641CE"/>
    <w:rsid w:val="00865A6F"/>
    <w:rsid w:val="008675AF"/>
    <w:rsid w:val="0087068D"/>
    <w:rsid w:val="00870BE2"/>
    <w:rsid w:val="0087163A"/>
    <w:rsid w:val="00872779"/>
    <w:rsid w:val="0087288B"/>
    <w:rsid w:val="00874AE8"/>
    <w:rsid w:val="00883FA1"/>
    <w:rsid w:val="00885E0F"/>
    <w:rsid w:val="00886BD6"/>
    <w:rsid w:val="0089318F"/>
    <w:rsid w:val="008947A9"/>
    <w:rsid w:val="00894965"/>
    <w:rsid w:val="00896BEC"/>
    <w:rsid w:val="008A02AB"/>
    <w:rsid w:val="008A0321"/>
    <w:rsid w:val="008A0CFB"/>
    <w:rsid w:val="008A0D45"/>
    <w:rsid w:val="008A20EC"/>
    <w:rsid w:val="008A2FD8"/>
    <w:rsid w:val="008A358C"/>
    <w:rsid w:val="008A67BF"/>
    <w:rsid w:val="008B0B4F"/>
    <w:rsid w:val="008B3D26"/>
    <w:rsid w:val="008B42F8"/>
    <w:rsid w:val="008B6C7C"/>
    <w:rsid w:val="008B726E"/>
    <w:rsid w:val="008C2707"/>
    <w:rsid w:val="008C2B52"/>
    <w:rsid w:val="008C338D"/>
    <w:rsid w:val="008C3E15"/>
    <w:rsid w:val="008C4D4C"/>
    <w:rsid w:val="008C5E58"/>
    <w:rsid w:val="008C7524"/>
    <w:rsid w:val="008D0A00"/>
    <w:rsid w:val="008D3A7F"/>
    <w:rsid w:val="008D4D5E"/>
    <w:rsid w:val="008D5DFF"/>
    <w:rsid w:val="008D763A"/>
    <w:rsid w:val="008E7D93"/>
    <w:rsid w:val="008F125D"/>
    <w:rsid w:val="008F1CE0"/>
    <w:rsid w:val="008F4385"/>
    <w:rsid w:val="008F5C28"/>
    <w:rsid w:val="008F72C3"/>
    <w:rsid w:val="009010CB"/>
    <w:rsid w:val="00901391"/>
    <w:rsid w:val="009017B4"/>
    <w:rsid w:val="009032AD"/>
    <w:rsid w:val="009053A1"/>
    <w:rsid w:val="0090671F"/>
    <w:rsid w:val="00910155"/>
    <w:rsid w:val="00910E2C"/>
    <w:rsid w:val="00910F97"/>
    <w:rsid w:val="00912A39"/>
    <w:rsid w:val="00914C30"/>
    <w:rsid w:val="00915700"/>
    <w:rsid w:val="0092474F"/>
    <w:rsid w:val="00926653"/>
    <w:rsid w:val="00926AFC"/>
    <w:rsid w:val="0092794C"/>
    <w:rsid w:val="00931273"/>
    <w:rsid w:val="00933F51"/>
    <w:rsid w:val="00937954"/>
    <w:rsid w:val="00937FD9"/>
    <w:rsid w:val="009401D5"/>
    <w:rsid w:val="00940FAC"/>
    <w:rsid w:val="009413C2"/>
    <w:rsid w:val="00943A02"/>
    <w:rsid w:val="009449CF"/>
    <w:rsid w:val="00946C46"/>
    <w:rsid w:val="009516D8"/>
    <w:rsid w:val="00951AC0"/>
    <w:rsid w:val="00951DC0"/>
    <w:rsid w:val="00952A8B"/>
    <w:rsid w:val="009537FF"/>
    <w:rsid w:val="00953934"/>
    <w:rsid w:val="00953F23"/>
    <w:rsid w:val="0095436B"/>
    <w:rsid w:val="00954687"/>
    <w:rsid w:val="00956A06"/>
    <w:rsid w:val="00957AAB"/>
    <w:rsid w:val="00960353"/>
    <w:rsid w:val="00960A0C"/>
    <w:rsid w:val="00961215"/>
    <w:rsid w:val="00961DCE"/>
    <w:rsid w:val="00963B26"/>
    <w:rsid w:val="00966492"/>
    <w:rsid w:val="009677B2"/>
    <w:rsid w:val="00967BAA"/>
    <w:rsid w:val="00972553"/>
    <w:rsid w:val="00974B0B"/>
    <w:rsid w:val="00975B21"/>
    <w:rsid w:val="00975CCC"/>
    <w:rsid w:val="00976D9F"/>
    <w:rsid w:val="00976F63"/>
    <w:rsid w:val="009807B3"/>
    <w:rsid w:val="009819BC"/>
    <w:rsid w:val="0098213D"/>
    <w:rsid w:val="00982821"/>
    <w:rsid w:val="0098446F"/>
    <w:rsid w:val="00986CC3"/>
    <w:rsid w:val="00990180"/>
    <w:rsid w:val="00991898"/>
    <w:rsid w:val="00991FE4"/>
    <w:rsid w:val="009945AB"/>
    <w:rsid w:val="009948E9"/>
    <w:rsid w:val="009978D7"/>
    <w:rsid w:val="009A11CA"/>
    <w:rsid w:val="009A20FC"/>
    <w:rsid w:val="009A4DD4"/>
    <w:rsid w:val="009A4E22"/>
    <w:rsid w:val="009A5360"/>
    <w:rsid w:val="009A5A02"/>
    <w:rsid w:val="009A5A12"/>
    <w:rsid w:val="009A6085"/>
    <w:rsid w:val="009A72B8"/>
    <w:rsid w:val="009B0695"/>
    <w:rsid w:val="009B15CB"/>
    <w:rsid w:val="009B781D"/>
    <w:rsid w:val="009C4C6C"/>
    <w:rsid w:val="009C57DA"/>
    <w:rsid w:val="009C6164"/>
    <w:rsid w:val="009C616E"/>
    <w:rsid w:val="009C7320"/>
    <w:rsid w:val="009C7B8A"/>
    <w:rsid w:val="009C7D21"/>
    <w:rsid w:val="009D04F0"/>
    <w:rsid w:val="009D271F"/>
    <w:rsid w:val="009D5340"/>
    <w:rsid w:val="009D675C"/>
    <w:rsid w:val="009D6C54"/>
    <w:rsid w:val="009E0A14"/>
    <w:rsid w:val="009E1E29"/>
    <w:rsid w:val="009E2DC5"/>
    <w:rsid w:val="009E4BB2"/>
    <w:rsid w:val="009E5C6C"/>
    <w:rsid w:val="009F45FA"/>
    <w:rsid w:val="009F59FD"/>
    <w:rsid w:val="009F64F8"/>
    <w:rsid w:val="009F6BAA"/>
    <w:rsid w:val="00A00164"/>
    <w:rsid w:val="00A00521"/>
    <w:rsid w:val="00A01267"/>
    <w:rsid w:val="00A0134D"/>
    <w:rsid w:val="00A02D79"/>
    <w:rsid w:val="00A04351"/>
    <w:rsid w:val="00A0445F"/>
    <w:rsid w:val="00A05430"/>
    <w:rsid w:val="00A05683"/>
    <w:rsid w:val="00A10183"/>
    <w:rsid w:val="00A12003"/>
    <w:rsid w:val="00A1397B"/>
    <w:rsid w:val="00A1591E"/>
    <w:rsid w:val="00A16100"/>
    <w:rsid w:val="00A17AC2"/>
    <w:rsid w:val="00A22545"/>
    <w:rsid w:val="00A22998"/>
    <w:rsid w:val="00A23062"/>
    <w:rsid w:val="00A231B8"/>
    <w:rsid w:val="00A241CA"/>
    <w:rsid w:val="00A270E1"/>
    <w:rsid w:val="00A27BA4"/>
    <w:rsid w:val="00A33A9B"/>
    <w:rsid w:val="00A34D03"/>
    <w:rsid w:val="00A35548"/>
    <w:rsid w:val="00A3588D"/>
    <w:rsid w:val="00A36C87"/>
    <w:rsid w:val="00A376B2"/>
    <w:rsid w:val="00A37FF1"/>
    <w:rsid w:val="00A42713"/>
    <w:rsid w:val="00A42F22"/>
    <w:rsid w:val="00A44F4B"/>
    <w:rsid w:val="00A44F7D"/>
    <w:rsid w:val="00A45832"/>
    <w:rsid w:val="00A45E60"/>
    <w:rsid w:val="00A51EC8"/>
    <w:rsid w:val="00A5241D"/>
    <w:rsid w:val="00A52770"/>
    <w:rsid w:val="00A537E2"/>
    <w:rsid w:val="00A55E1C"/>
    <w:rsid w:val="00A575C6"/>
    <w:rsid w:val="00A57719"/>
    <w:rsid w:val="00A61FEA"/>
    <w:rsid w:val="00A65D04"/>
    <w:rsid w:val="00A6646B"/>
    <w:rsid w:val="00A6730E"/>
    <w:rsid w:val="00A7037B"/>
    <w:rsid w:val="00A71DC6"/>
    <w:rsid w:val="00A74A6E"/>
    <w:rsid w:val="00A75117"/>
    <w:rsid w:val="00A77C02"/>
    <w:rsid w:val="00A80AA5"/>
    <w:rsid w:val="00A8135B"/>
    <w:rsid w:val="00A81BD7"/>
    <w:rsid w:val="00A8447A"/>
    <w:rsid w:val="00A86713"/>
    <w:rsid w:val="00A86E34"/>
    <w:rsid w:val="00A872BE"/>
    <w:rsid w:val="00A87CC3"/>
    <w:rsid w:val="00A9095F"/>
    <w:rsid w:val="00A919D9"/>
    <w:rsid w:val="00A92933"/>
    <w:rsid w:val="00A93461"/>
    <w:rsid w:val="00A95161"/>
    <w:rsid w:val="00A95781"/>
    <w:rsid w:val="00A966A1"/>
    <w:rsid w:val="00AA17DE"/>
    <w:rsid w:val="00AA2E2A"/>
    <w:rsid w:val="00AA2F73"/>
    <w:rsid w:val="00AB0BA6"/>
    <w:rsid w:val="00AB0C7C"/>
    <w:rsid w:val="00AB2027"/>
    <w:rsid w:val="00AB2E32"/>
    <w:rsid w:val="00AB3751"/>
    <w:rsid w:val="00AB49A1"/>
    <w:rsid w:val="00AB6AF2"/>
    <w:rsid w:val="00AB76E4"/>
    <w:rsid w:val="00AC221D"/>
    <w:rsid w:val="00AC31B8"/>
    <w:rsid w:val="00AC353E"/>
    <w:rsid w:val="00AC3E0D"/>
    <w:rsid w:val="00AC4714"/>
    <w:rsid w:val="00AC74D8"/>
    <w:rsid w:val="00AC7E8B"/>
    <w:rsid w:val="00AD0A4E"/>
    <w:rsid w:val="00AD24AD"/>
    <w:rsid w:val="00AD36A4"/>
    <w:rsid w:val="00AE0250"/>
    <w:rsid w:val="00AE02DF"/>
    <w:rsid w:val="00AE033E"/>
    <w:rsid w:val="00AE2211"/>
    <w:rsid w:val="00AE3B2E"/>
    <w:rsid w:val="00AE543F"/>
    <w:rsid w:val="00AE63E9"/>
    <w:rsid w:val="00AE7997"/>
    <w:rsid w:val="00AF1EED"/>
    <w:rsid w:val="00AF3B17"/>
    <w:rsid w:val="00AF442F"/>
    <w:rsid w:val="00AF4BC1"/>
    <w:rsid w:val="00AF526F"/>
    <w:rsid w:val="00AF6211"/>
    <w:rsid w:val="00AF69FC"/>
    <w:rsid w:val="00AF778F"/>
    <w:rsid w:val="00B00820"/>
    <w:rsid w:val="00B00E62"/>
    <w:rsid w:val="00B01B7A"/>
    <w:rsid w:val="00B01E9B"/>
    <w:rsid w:val="00B02E77"/>
    <w:rsid w:val="00B04F4C"/>
    <w:rsid w:val="00B056C2"/>
    <w:rsid w:val="00B07E8C"/>
    <w:rsid w:val="00B10B1B"/>
    <w:rsid w:val="00B13627"/>
    <w:rsid w:val="00B140D2"/>
    <w:rsid w:val="00B15344"/>
    <w:rsid w:val="00B16B4A"/>
    <w:rsid w:val="00B17F66"/>
    <w:rsid w:val="00B205BC"/>
    <w:rsid w:val="00B21235"/>
    <w:rsid w:val="00B2380F"/>
    <w:rsid w:val="00B2430F"/>
    <w:rsid w:val="00B24B90"/>
    <w:rsid w:val="00B26488"/>
    <w:rsid w:val="00B26C70"/>
    <w:rsid w:val="00B26EAD"/>
    <w:rsid w:val="00B30792"/>
    <w:rsid w:val="00B340D0"/>
    <w:rsid w:val="00B346AC"/>
    <w:rsid w:val="00B34E20"/>
    <w:rsid w:val="00B37B77"/>
    <w:rsid w:val="00B37CB4"/>
    <w:rsid w:val="00B37E3C"/>
    <w:rsid w:val="00B4337E"/>
    <w:rsid w:val="00B43A54"/>
    <w:rsid w:val="00B4630E"/>
    <w:rsid w:val="00B47E94"/>
    <w:rsid w:val="00B506BE"/>
    <w:rsid w:val="00B50E0D"/>
    <w:rsid w:val="00B50F0A"/>
    <w:rsid w:val="00B52FD6"/>
    <w:rsid w:val="00B53FC5"/>
    <w:rsid w:val="00B55BDB"/>
    <w:rsid w:val="00B56DD7"/>
    <w:rsid w:val="00B61169"/>
    <w:rsid w:val="00B67AF5"/>
    <w:rsid w:val="00B705C3"/>
    <w:rsid w:val="00B70C4F"/>
    <w:rsid w:val="00B7122E"/>
    <w:rsid w:val="00B72649"/>
    <w:rsid w:val="00B7471B"/>
    <w:rsid w:val="00B76D98"/>
    <w:rsid w:val="00B800DE"/>
    <w:rsid w:val="00B80814"/>
    <w:rsid w:val="00B81CF5"/>
    <w:rsid w:val="00B83D92"/>
    <w:rsid w:val="00B84461"/>
    <w:rsid w:val="00B847D0"/>
    <w:rsid w:val="00B869BD"/>
    <w:rsid w:val="00B8722F"/>
    <w:rsid w:val="00B87B2D"/>
    <w:rsid w:val="00B90D5A"/>
    <w:rsid w:val="00B940D8"/>
    <w:rsid w:val="00B959F7"/>
    <w:rsid w:val="00B96702"/>
    <w:rsid w:val="00B974D9"/>
    <w:rsid w:val="00B97694"/>
    <w:rsid w:val="00BA073F"/>
    <w:rsid w:val="00BA0C0E"/>
    <w:rsid w:val="00BA3351"/>
    <w:rsid w:val="00BA4794"/>
    <w:rsid w:val="00BA6790"/>
    <w:rsid w:val="00BA7B51"/>
    <w:rsid w:val="00BB021D"/>
    <w:rsid w:val="00BB13DB"/>
    <w:rsid w:val="00BB1B9F"/>
    <w:rsid w:val="00BB2A9E"/>
    <w:rsid w:val="00BB3C47"/>
    <w:rsid w:val="00BB5168"/>
    <w:rsid w:val="00BC044F"/>
    <w:rsid w:val="00BC0DCD"/>
    <w:rsid w:val="00BC2D71"/>
    <w:rsid w:val="00BC30AE"/>
    <w:rsid w:val="00BC59B1"/>
    <w:rsid w:val="00BD0755"/>
    <w:rsid w:val="00BD11D3"/>
    <w:rsid w:val="00BD148D"/>
    <w:rsid w:val="00BD2425"/>
    <w:rsid w:val="00BD29F3"/>
    <w:rsid w:val="00BD63D7"/>
    <w:rsid w:val="00BD6FD2"/>
    <w:rsid w:val="00BD70F7"/>
    <w:rsid w:val="00BE07A4"/>
    <w:rsid w:val="00BE19B0"/>
    <w:rsid w:val="00BE2417"/>
    <w:rsid w:val="00BE2D05"/>
    <w:rsid w:val="00BE2F2B"/>
    <w:rsid w:val="00BE43A1"/>
    <w:rsid w:val="00BE47D4"/>
    <w:rsid w:val="00BE54CE"/>
    <w:rsid w:val="00BE6071"/>
    <w:rsid w:val="00BE6341"/>
    <w:rsid w:val="00BE6E12"/>
    <w:rsid w:val="00BE74D3"/>
    <w:rsid w:val="00BF030E"/>
    <w:rsid w:val="00BF2CEA"/>
    <w:rsid w:val="00BF3A6A"/>
    <w:rsid w:val="00BF4061"/>
    <w:rsid w:val="00BF4A91"/>
    <w:rsid w:val="00BF4B29"/>
    <w:rsid w:val="00BF5282"/>
    <w:rsid w:val="00BF54DA"/>
    <w:rsid w:val="00C0030D"/>
    <w:rsid w:val="00C017CA"/>
    <w:rsid w:val="00C030FD"/>
    <w:rsid w:val="00C042AE"/>
    <w:rsid w:val="00C05E73"/>
    <w:rsid w:val="00C06288"/>
    <w:rsid w:val="00C064A6"/>
    <w:rsid w:val="00C124FA"/>
    <w:rsid w:val="00C13087"/>
    <w:rsid w:val="00C13E93"/>
    <w:rsid w:val="00C141B7"/>
    <w:rsid w:val="00C149B5"/>
    <w:rsid w:val="00C14B5E"/>
    <w:rsid w:val="00C1519A"/>
    <w:rsid w:val="00C167EF"/>
    <w:rsid w:val="00C24CEE"/>
    <w:rsid w:val="00C251DD"/>
    <w:rsid w:val="00C26E94"/>
    <w:rsid w:val="00C27405"/>
    <w:rsid w:val="00C27FBA"/>
    <w:rsid w:val="00C309D6"/>
    <w:rsid w:val="00C3286F"/>
    <w:rsid w:val="00C3480B"/>
    <w:rsid w:val="00C405BF"/>
    <w:rsid w:val="00C418BB"/>
    <w:rsid w:val="00C43A7A"/>
    <w:rsid w:val="00C47B29"/>
    <w:rsid w:val="00C52294"/>
    <w:rsid w:val="00C53771"/>
    <w:rsid w:val="00C5640B"/>
    <w:rsid w:val="00C56BE5"/>
    <w:rsid w:val="00C6048E"/>
    <w:rsid w:val="00C61091"/>
    <w:rsid w:val="00C623C9"/>
    <w:rsid w:val="00C6504A"/>
    <w:rsid w:val="00C6587C"/>
    <w:rsid w:val="00C65B50"/>
    <w:rsid w:val="00C65EDE"/>
    <w:rsid w:val="00C670F8"/>
    <w:rsid w:val="00C6762C"/>
    <w:rsid w:val="00C67655"/>
    <w:rsid w:val="00C72F6A"/>
    <w:rsid w:val="00C75DE2"/>
    <w:rsid w:val="00C80E44"/>
    <w:rsid w:val="00C81D57"/>
    <w:rsid w:val="00C83E93"/>
    <w:rsid w:val="00C8476C"/>
    <w:rsid w:val="00C87327"/>
    <w:rsid w:val="00C903DA"/>
    <w:rsid w:val="00C9188D"/>
    <w:rsid w:val="00C9350E"/>
    <w:rsid w:val="00C95A28"/>
    <w:rsid w:val="00C95B91"/>
    <w:rsid w:val="00C9751E"/>
    <w:rsid w:val="00C9794D"/>
    <w:rsid w:val="00CA1347"/>
    <w:rsid w:val="00CA293E"/>
    <w:rsid w:val="00CA61BE"/>
    <w:rsid w:val="00CB33CE"/>
    <w:rsid w:val="00CB3796"/>
    <w:rsid w:val="00CB397D"/>
    <w:rsid w:val="00CB3F32"/>
    <w:rsid w:val="00CB4F80"/>
    <w:rsid w:val="00CB51D0"/>
    <w:rsid w:val="00CB52F2"/>
    <w:rsid w:val="00CB6F88"/>
    <w:rsid w:val="00CC251A"/>
    <w:rsid w:val="00CC4BC2"/>
    <w:rsid w:val="00CC5A7E"/>
    <w:rsid w:val="00CC66E0"/>
    <w:rsid w:val="00CC74C4"/>
    <w:rsid w:val="00CD0B98"/>
    <w:rsid w:val="00CD250C"/>
    <w:rsid w:val="00CD2A93"/>
    <w:rsid w:val="00CD5AEE"/>
    <w:rsid w:val="00CD6D59"/>
    <w:rsid w:val="00CD740A"/>
    <w:rsid w:val="00CE236F"/>
    <w:rsid w:val="00CE2453"/>
    <w:rsid w:val="00CE28FA"/>
    <w:rsid w:val="00CE527E"/>
    <w:rsid w:val="00CE6D6B"/>
    <w:rsid w:val="00CE72CF"/>
    <w:rsid w:val="00CF0DE6"/>
    <w:rsid w:val="00CF10CE"/>
    <w:rsid w:val="00CF1297"/>
    <w:rsid w:val="00CF2814"/>
    <w:rsid w:val="00CF2C6D"/>
    <w:rsid w:val="00CF344E"/>
    <w:rsid w:val="00CF51E8"/>
    <w:rsid w:val="00CF6A9A"/>
    <w:rsid w:val="00D01618"/>
    <w:rsid w:val="00D03A70"/>
    <w:rsid w:val="00D03D24"/>
    <w:rsid w:val="00D049E8"/>
    <w:rsid w:val="00D067E2"/>
    <w:rsid w:val="00D0692B"/>
    <w:rsid w:val="00D071AB"/>
    <w:rsid w:val="00D11C6A"/>
    <w:rsid w:val="00D16A43"/>
    <w:rsid w:val="00D1710F"/>
    <w:rsid w:val="00D234C2"/>
    <w:rsid w:val="00D25C45"/>
    <w:rsid w:val="00D2696D"/>
    <w:rsid w:val="00D31202"/>
    <w:rsid w:val="00D34CA3"/>
    <w:rsid w:val="00D379DA"/>
    <w:rsid w:val="00D37CF7"/>
    <w:rsid w:val="00D41AFB"/>
    <w:rsid w:val="00D422EB"/>
    <w:rsid w:val="00D43084"/>
    <w:rsid w:val="00D43BF3"/>
    <w:rsid w:val="00D46B0C"/>
    <w:rsid w:val="00D50287"/>
    <w:rsid w:val="00D53396"/>
    <w:rsid w:val="00D5343F"/>
    <w:rsid w:val="00D55FC4"/>
    <w:rsid w:val="00D56667"/>
    <w:rsid w:val="00D62841"/>
    <w:rsid w:val="00D62BA9"/>
    <w:rsid w:val="00D643CB"/>
    <w:rsid w:val="00D65A88"/>
    <w:rsid w:val="00D6629B"/>
    <w:rsid w:val="00D66444"/>
    <w:rsid w:val="00D665D1"/>
    <w:rsid w:val="00D66E75"/>
    <w:rsid w:val="00D71922"/>
    <w:rsid w:val="00D74C0C"/>
    <w:rsid w:val="00D7512F"/>
    <w:rsid w:val="00D76513"/>
    <w:rsid w:val="00D77394"/>
    <w:rsid w:val="00D7751E"/>
    <w:rsid w:val="00D82D0E"/>
    <w:rsid w:val="00D85A46"/>
    <w:rsid w:val="00D87B68"/>
    <w:rsid w:val="00D87D76"/>
    <w:rsid w:val="00D87FCB"/>
    <w:rsid w:val="00D91750"/>
    <w:rsid w:val="00D93B8B"/>
    <w:rsid w:val="00D95A7F"/>
    <w:rsid w:val="00D96862"/>
    <w:rsid w:val="00D969E8"/>
    <w:rsid w:val="00D96C60"/>
    <w:rsid w:val="00D97EE7"/>
    <w:rsid w:val="00DA0525"/>
    <w:rsid w:val="00DA0CF5"/>
    <w:rsid w:val="00DA0E07"/>
    <w:rsid w:val="00DA193D"/>
    <w:rsid w:val="00DA258C"/>
    <w:rsid w:val="00DA2710"/>
    <w:rsid w:val="00DA591F"/>
    <w:rsid w:val="00DA6D81"/>
    <w:rsid w:val="00DA7CFF"/>
    <w:rsid w:val="00DA7D6B"/>
    <w:rsid w:val="00DB389A"/>
    <w:rsid w:val="00DB4946"/>
    <w:rsid w:val="00DB4E2E"/>
    <w:rsid w:val="00DB5C62"/>
    <w:rsid w:val="00DB5D9C"/>
    <w:rsid w:val="00DB654B"/>
    <w:rsid w:val="00DB6772"/>
    <w:rsid w:val="00DB7796"/>
    <w:rsid w:val="00DC02DA"/>
    <w:rsid w:val="00DC2036"/>
    <w:rsid w:val="00DC3BBE"/>
    <w:rsid w:val="00DC5536"/>
    <w:rsid w:val="00DC55FD"/>
    <w:rsid w:val="00DC6C95"/>
    <w:rsid w:val="00DD08DE"/>
    <w:rsid w:val="00DD4066"/>
    <w:rsid w:val="00DD5848"/>
    <w:rsid w:val="00DD6DF2"/>
    <w:rsid w:val="00DD7EB0"/>
    <w:rsid w:val="00DE02CD"/>
    <w:rsid w:val="00DE37D4"/>
    <w:rsid w:val="00DF0827"/>
    <w:rsid w:val="00DF1A9B"/>
    <w:rsid w:val="00DF2CBB"/>
    <w:rsid w:val="00DF3550"/>
    <w:rsid w:val="00DF465B"/>
    <w:rsid w:val="00DF4B6A"/>
    <w:rsid w:val="00DF57B8"/>
    <w:rsid w:val="00DF6C52"/>
    <w:rsid w:val="00E02941"/>
    <w:rsid w:val="00E055CD"/>
    <w:rsid w:val="00E05E6E"/>
    <w:rsid w:val="00E063CE"/>
    <w:rsid w:val="00E067AA"/>
    <w:rsid w:val="00E068E1"/>
    <w:rsid w:val="00E06EB2"/>
    <w:rsid w:val="00E1159B"/>
    <w:rsid w:val="00E11EFE"/>
    <w:rsid w:val="00E13EB8"/>
    <w:rsid w:val="00E17583"/>
    <w:rsid w:val="00E17F5F"/>
    <w:rsid w:val="00E22CD0"/>
    <w:rsid w:val="00E249F1"/>
    <w:rsid w:val="00E26C8C"/>
    <w:rsid w:val="00E27588"/>
    <w:rsid w:val="00E3042D"/>
    <w:rsid w:val="00E30C36"/>
    <w:rsid w:val="00E32D7F"/>
    <w:rsid w:val="00E33847"/>
    <w:rsid w:val="00E34298"/>
    <w:rsid w:val="00E347DE"/>
    <w:rsid w:val="00E36078"/>
    <w:rsid w:val="00E375F7"/>
    <w:rsid w:val="00E42D57"/>
    <w:rsid w:val="00E44451"/>
    <w:rsid w:val="00E452E3"/>
    <w:rsid w:val="00E4571C"/>
    <w:rsid w:val="00E46AD9"/>
    <w:rsid w:val="00E5083B"/>
    <w:rsid w:val="00E516E9"/>
    <w:rsid w:val="00E522F4"/>
    <w:rsid w:val="00E52855"/>
    <w:rsid w:val="00E541AD"/>
    <w:rsid w:val="00E6070A"/>
    <w:rsid w:val="00E60798"/>
    <w:rsid w:val="00E60E79"/>
    <w:rsid w:val="00E62CA3"/>
    <w:rsid w:val="00E70273"/>
    <w:rsid w:val="00E71A30"/>
    <w:rsid w:val="00E71F2D"/>
    <w:rsid w:val="00E73D75"/>
    <w:rsid w:val="00E747BE"/>
    <w:rsid w:val="00E74DE9"/>
    <w:rsid w:val="00E754FB"/>
    <w:rsid w:val="00E768FC"/>
    <w:rsid w:val="00E76983"/>
    <w:rsid w:val="00E819A4"/>
    <w:rsid w:val="00E819D5"/>
    <w:rsid w:val="00E81CA5"/>
    <w:rsid w:val="00E82B5C"/>
    <w:rsid w:val="00E82CB9"/>
    <w:rsid w:val="00E82E0B"/>
    <w:rsid w:val="00E839AB"/>
    <w:rsid w:val="00E84A5D"/>
    <w:rsid w:val="00E84F7C"/>
    <w:rsid w:val="00E8630C"/>
    <w:rsid w:val="00E863ED"/>
    <w:rsid w:val="00E878F6"/>
    <w:rsid w:val="00E87C97"/>
    <w:rsid w:val="00E902B5"/>
    <w:rsid w:val="00E9548B"/>
    <w:rsid w:val="00E96F8E"/>
    <w:rsid w:val="00EA049F"/>
    <w:rsid w:val="00EA0CE8"/>
    <w:rsid w:val="00EA1084"/>
    <w:rsid w:val="00EA13B6"/>
    <w:rsid w:val="00EA1804"/>
    <w:rsid w:val="00EA2594"/>
    <w:rsid w:val="00EA43F8"/>
    <w:rsid w:val="00EA5A87"/>
    <w:rsid w:val="00EA5F44"/>
    <w:rsid w:val="00EA758A"/>
    <w:rsid w:val="00EB1BE0"/>
    <w:rsid w:val="00EB5397"/>
    <w:rsid w:val="00EB5751"/>
    <w:rsid w:val="00EB7ED8"/>
    <w:rsid w:val="00EC090C"/>
    <w:rsid w:val="00EC10C8"/>
    <w:rsid w:val="00EC1104"/>
    <w:rsid w:val="00EC4435"/>
    <w:rsid w:val="00EC49A6"/>
    <w:rsid w:val="00EC51B8"/>
    <w:rsid w:val="00ED0B4B"/>
    <w:rsid w:val="00ED1142"/>
    <w:rsid w:val="00ED658D"/>
    <w:rsid w:val="00ED6DDB"/>
    <w:rsid w:val="00EE18F1"/>
    <w:rsid w:val="00EE35E4"/>
    <w:rsid w:val="00EE3D44"/>
    <w:rsid w:val="00EE487D"/>
    <w:rsid w:val="00EE5AA6"/>
    <w:rsid w:val="00EE6056"/>
    <w:rsid w:val="00EE6E3C"/>
    <w:rsid w:val="00EE6ECE"/>
    <w:rsid w:val="00EF1BEF"/>
    <w:rsid w:val="00EF2645"/>
    <w:rsid w:val="00EF3EC1"/>
    <w:rsid w:val="00EF6662"/>
    <w:rsid w:val="00EF6B7F"/>
    <w:rsid w:val="00EF7B1B"/>
    <w:rsid w:val="00F01D65"/>
    <w:rsid w:val="00F0255D"/>
    <w:rsid w:val="00F02612"/>
    <w:rsid w:val="00F02BCB"/>
    <w:rsid w:val="00F061B0"/>
    <w:rsid w:val="00F065CD"/>
    <w:rsid w:val="00F13E6A"/>
    <w:rsid w:val="00F14E30"/>
    <w:rsid w:val="00F1771C"/>
    <w:rsid w:val="00F23763"/>
    <w:rsid w:val="00F2597C"/>
    <w:rsid w:val="00F26C3E"/>
    <w:rsid w:val="00F2777A"/>
    <w:rsid w:val="00F2779B"/>
    <w:rsid w:val="00F27F08"/>
    <w:rsid w:val="00F30139"/>
    <w:rsid w:val="00F323B2"/>
    <w:rsid w:val="00F34236"/>
    <w:rsid w:val="00F35FCF"/>
    <w:rsid w:val="00F37047"/>
    <w:rsid w:val="00F376FF"/>
    <w:rsid w:val="00F402AB"/>
    <w:rsid w:val="00F40D4B"/>
    <w:rsid w:val="00F41CE4"/>
    <w:rsid w:val="00F42767"/>
    <w:rsid w:val="00F4292D"/>
    <w:rsid w:val="00F42F68"/>
    <w:rsid w:val="00F43377"/>
    <w:rsid w:val="00F45284"/>
    <w:rsid w:val="00F45C5D"/>
    <w:rsid w:val="00F45C9B"/>
    <w:rsid w:val="00F46450"/>
    <w:rsid w:val="00F50D44"/>
    <w:rsid w:val="00F51439"/>
    <w:rsid w:val="00F51CCD"/>
    <w:rsid w:val="00F51DA9"/>
    <w:rsid w:val="00F53491"/>
    <w:rsid w:val="00F534D5"/>
    <w:rsid w:val="00F53FC7"/>
    <w:rsid w:val="00F60EAF"/>
    <w:rsid w:val="00F62B3D"/>
    <w:rsid w:val="00F6436C"/>
    <w:rsid w:val="00F64E95"/>
    <w:rsid w:val="00F65042"/>
    <w:rsid w:val="00F65861"/>
    <w:rsid w:val="00F66ADC"/>
    <w:rsid w:val="00F6769B"/>
    <w:rsid w:val="00F71848"/>
    <w:rsid w:val="00F71E34"/>
    <w:rsid w:val="00F73D66"/>
    <w:rsid w:val="00F73E36"/>
    <w:rsid w:val="00F7425C"/>
    <w:rsid w:val="00F74652"/>
    <w:rsid w:val="00F75287"/>
    <w:rsid w:val="00F76340"/>
    <w:rsid w:val="00F773DC"/>
    <w:rsid w:val="00F777A8"/>
    <w:rsid w:val="00F815E6"/>
    <w:rsid w:val="00F8292D"/>
    <w:rsid w:val="00F83939"/>
    <w:rsid w:val="00F84269"/>
    <w:rsid w:val="00F868D7"/>
    <w:rsid w:val="00F87437"/>
    <w:rsid w:val="00F91D49"/>
    <w:rsid w:val="00F932CB"/>
    <w:rsid w:val="00F961D6"/>
    <w:rsid w:val="00F97C1A"/>
    <w:rsid w:val="00FA081B"/>
    <w:rsid w:val="00FA22FA"/>
    <w:rsid w:val="00FA37EE"/>
    <w:rsid w:val="00FA38BD"/>
    <w:rsid w:val="00FA4EAA"/>
    <w:rsid w:val="00FA4FD5"/>
    <w:rsid w:val="00FA64D7"/>
    <w:rsid w:val="00FB1AF0"/>
    <w:rsid w:val="00FB259C"/>
    <w:rsid w:val="00FB27AE"/>
    <w:rsid w:val="00FB368A"/>
    <w:rsid w:val="00FB50E1"/>
    <w:rsid w:val="00FB59C0"/>
    <w:rsid w:val="00FB6BBB"/>
    <w:rsid w:val="00FB7A73"/>
    <w:rsid w:val="00FC0A49"/>
    <w:rsid w:val="00FC1F73"/>
    <w:rsid w:val="00FC2579"/>
    <w:rsid w:val="00FC2DBC"/>
    <w:rsid w:val="00FC34D0"/>
    <w:rsid w:val="00FC4F51"/>
    <w:rsid w:val="00FC5440"/>
    <w:rsid w:val="00FC5D1C"/>
    <w:rsid w:val="00FC60E0"/>
    <w:rsid w:val="00FC7874"/>
    <w:rsid w:val="00FD13EF"/>
    <w:rsid w:val="00FD1F42"/>
    <w:rsid w:val="00FD2638"/>
    <w:rsid w:val="00FD3028"/>
    <w:rsid w:val="00FD6FDC"/>
    <w:rsid w:val="00FE2B69"/>
    <w:rsid w:val="00FE5466"/>
    <w:rsid w:val="00FE5963"/>
    <w:rsid w:val="00FE725B"/>
    <w:rsid w:val="00FF31EC"/>
    <w:rsid w:val="00FF3E95"/>
    <w:rsid w:val="00FF4AC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amples-msdn-microsoft-com" w:name="M5ConnectSmartTag"/>
  <w:shapeDefaults>
    <o:shapedefaults v:ext="edit" spidmax="2049"/>
    <o:shapelayout v:ext="edit">
      <o:idmap v:ext="edit" data="1"/>
    </o:shapelayout>
  </w:shapeDefaults>
  <w:decimalSymbol w:val="."/>
  <w:listSeparator w:val=","/>
  <w14:docId w14:val="2C9F2301"/>
  <w15:docId w15:val="{E09B19E3-1754-4168-B10D-18675A76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C87"/>
    <w:pPr>
      <w:spacing w:after="120"/>
      <w:ind w:firstLine="540"/>
      <w:jc w:val="both"/>
    </w:pPr>
    <w:rPr>
      <w:rFonts w:ascii="Century Schoolbook" w:hAnsi="Century Schoolbook" w:cs="Times New Roman"/>
      <w:sz w:val="24"/>
      <w:szCs w:val="24"/>
    </w:rPr>
  </w:style>
  <w:style w:type="paragraph" w:styleId="Heading1">
    <w:name w:val="heading 1"/>
    <w:basedOn w:val="Title"/>
    <w:next w:val="Normal"/>
    <w:link w:val="Heading1Char"/>
    <w:uiPriority w:val="99"/>
    <w:qFormat/>
    <w:rsid w:val="00B2430F"/>
    <w:pPr>
      <w:outlineLvl w:val="0"/>
    </w:pPr>
  </w:style>
  <w:style w:type="paragraph" w:styleId="Heading2">
    <w:name w:val="heading 2"/>
    <w:basedOn w:val="Subtitle"/>
    <w:next w:val="Normal"/>
    <w:link w:val="Heading2Char"/>
    <w:uiPriority w:val="99"/>
    <w:unhideWhenUsed/>
    <w:qFormat/>
    <w:rsid w:val="00FC2DBC"/>
  </w:style>
  <w:style w:type="paragraph" w:styleId="Heading3">
    <w:name w:val="heading 3"/>
    <w:basedOn w:val="ListParagraph"/>
    <w:next w:val="Normal"/>
    <w:link w:val="Heading3Char"/>
    <w:uiPriority w:val="99"/>
    <w:unhideWhenUsed/>
    <w:qFormat/>
    <w:rsid w:val="00B2430F"/>
    <w:pPr>
      <w:numPr>
        <w:numId w:val="30"/>
      </w:numPr>
      <w:ind w:left="1094" w:hanging="547"/>
      <w:outlineLvl w:val="2"/>
    </w:pPr>
    <w:rPr>
      <w:b/>
    </w:rPr>
  </w:style>
  <w:style w:type="paragraph" w:styleId="Heading4">
    <w:name w:val="heading 4"/>
    <w:basedOn w:val="Normal"/>
    <w:next w:val="Normal"/>
    <w:link w:val="Heading4Char"/>
    <w:uiPriority w:val="99"/>
    <w:unhideWhenUsed/>
    <w:qFormat/>
    <w:rsid w:val="00FA64D7"/>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FA64D7"/>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FA64D7"/>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FA64D7"/>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FA64D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FA64D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B2E32"/>
    <w:pPr>
      <w:ind w:left="720"/>
      <w:contextualSpacing/>
    </w:pPr>
  </w:style>
  <w:style w:type="character" w:styleId="Hyperlink">
    <w:name w:val="Hyperlink"/>
    <w:basedOn w:val="DefaultParagraphFont"/>
    <w:uiPriority w:val="99"/>
    <w:unhideWhenUsed/>
    <w:rsid w:val="0012081E"/>
    <w:rPr>
      <w:color w:val="0563C1" w:themeColor="hyperlink"/>
      <w:u w:val="single"/>
    </w:rPr>
  </w:style>
  <w:style w:type="paragraph" w:styleId="FootnoteText">
    <w:name w:val="footnote text"/>
    <w:basedOn w:val="Normal"/>
    <w:link w:val="FootnoteTextChar"/>
    <w:uiPriority w:val="99"/>
    <w:unhideWhenUsed/>
    <w:rsid w:val="00B506BE"/>
    <w:rPr>
      <w:sz w:val="20"/>
      <w:szCs w:val="20"/>
    </w:rPr>
  </w:style>
  <w:style w:type="character" w:customStyle="1" w:styleId="FootnoteTextChar">
    <w:name w:val="Footnote Text Char"/>
    <w:basedOn w:val="DefaultParagraphFont"/>
    <w:link w:val="FootnoteText"/>
    <w:uiPriority w:val="99"/>
    <w:rsid w:val="00B506BE"/>
    <w:rPr>
      <w:sz w:val="20"/>
      <w:szCs w:val="20"/>
    </w:rPr>
  </w:style>
  <w:style w:type="character" w:styleId="FootnoteReference">
    <w:name w:val="footnote reference"/>
    <w:basedOn w:val="DefaultParagraphFont"/>
    <w:uiPriority w:val="99"/>
    <w:semiHidden/>
    <w:unhideWhenUsed/>
    <w:rsid w:val="00B506BE"/>
    <w:rPr>
      <w:vertAlign w:val="superscript"/>
    </w:rPr>
  </w:style>
  <w:style w:type="character" w:styleId="CommentReference">
    <w:name w:val="annotation reference"/>
    <w:basedOn w:val="DefaultParagraphFont"/>
    <w:uiPriority w:val="99"/>
    <w:semiHidden/>
    <w:unhideWhenUsed/>
    <w:rsid w:val="0017022F"/>
    <w:rPr>
      <w:sz w:val="16"/>
      <w:szCs w:val="16"/>
    </w:rPr>
  </w:style>
  <w:style w:type="paragraph" w:styleId="CommentText">
    <w:name w:val="annotation text"/>
    <w:basedOn w:val="Normal"/>
    <w:link w:val="CommentTextChar"/>
    <w:uiPriority w:val="99"/>
    <w:unhideWhenUsed/>
    <w:rsid w:val="0017022F"/>
    <w:rPr>
      <w:sz w:val="20"/>
      <w:szCs w:val="20"/>
    </w:rPr>
  </w:style>
  <w:style w:type="character" w:customStyle="1" w:styleId="CommentTextChar">
    <w:name w:val="Comment Text Char"/>
    <w:basedOn w:val="DefaultParagraphFont"/>
    <w:link w:val="CommentText"/>
    <w:uiPriority w:val="99"/>
    <w:rsid w:val="0017022F"/>
    <w:rPr>
      <w:sz w:val="20"/>
      <w:szCs w:val="20"/>
    </w:rPr>
  </w:style>
  <w:style w:type="paragraph" w:styleId="CommentSubject">
    <w:name w:val="annotation subject"/>
    <w:basedOn w:val="CommentText"/>
    <w:next w:val="CommentText"/>
    <w:link w:val="CommentSubjectChar"/>
    <w:uiPriority w:val="99"/>
    <w:semiHidden/>
    <w:unhideWhenUsed/>
    <w:rsid w:val="0017022F"/>
    <w:rPr>
      <w:b/>
      <w:bCs/>
    </w:rPr>
  </w:style>
  <w:style w:type="character" w:customStyle="1" w:styleId="CommentSubjectChar">
    <w:name w:val="Comment Subject Char"/>
    <w:basedOn w:val="CommentTextChar"/>
    <w:link w:val="CommentSubject"/>
    <w:uiPriority w:val="99"/>
    <w:semiHidden/>
    <w:rsid w:val="0017022F"/>
    <w:rPr>
      <w:b/>
      <w:bCs/>
      <w:sz w:val="20"/>
      <w:szCs w:val="20"/>
    </w:rPr>
  </w:style>
  <w:style w:type="paragraph" w:styleId="BalloonText">
    <w:name w:val="Balloon Text"/>
    <w:basedOn w:val="Normal"/>
    <w:link w:val="BalloonTextChar"/>
    <w:uiPriority w:val="99"/>
    <w:semiHidden/>
    <w:unhideWhenUsed/>
    <w:rsid w:val="00170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2F"/>
    <w:rPr>
      <w:rFonts w:ascii="Segoe UI" w:hAnsi="Segoe UI" w:cs="Segoe UI"/>
      <w:sz w:val="18"/>
      <w:szCs w:val="18"/>
    </w:rPr>
  </w:style>
  <w:style w:type="character" w:customStyle="1" w:styleId="Heading1Char">
    <w:name w:val="Heading 1 Char"/>
    <w:basedOn w:val="DefaultParagraphFont"/>
    <w:link w:val="Heading1"/>
    <w:uiPriority w:val="99"/>
    <w:rsid w:val="00B2430F"/>
    <w:rPr>
      <w:rFonts w:ascii="Century Schoolbook" w:hAnsi="Century Schoolbook" w:cs="Times New Roman"/>
      <w:b/>
      <w:sz w:val="24"/>
      <w:szCs w:val="24"/>
    </w:rPr>
  </w:style>
  <w:style w:type="character" w:customStyle="1" w:styleId="Heading2Char">
    <w:name w:val="Heading 2 Char"/>
    <w:basedOn w:val="DefaultParagraphFont"/>
    <w:link w:val="Heading2"/>
    <w:uiPriority w:val="99"/>
    <w:rsid w:val="00FC2DBC"/>
    <w:rPr>
      <w:rFonts w:ascii="Century Schoolbook" w:hAnsi="Century Schoolbook" w:cs="Times New Roman"/>
      <w:b/>
      <w:sz w:val="24"/>
      <w:szCs w:val="24"/>
    </w:rPr>
  </w:style>
  <w:style w:type="character" w:customStyle="1" w:styleId="Heading3Char">
    <w:name w:val="Heading 3 Char"/>
    <w:basedOn w:val="DefaultParagraphFont"/>
    <w:link w:val="Heading3"/>
    <w:uiPriority w:val="99"/>
    <w:rsid w:val="00B2430F"/>
    <w:rPr>
      <w:rFonts w:ascii="Century Schoolbook" w:hAnsi="Century Schoolbook" w:cs="Times New Roman"/>
      <w:b/>
      <w:sz w:val="24"/>
      <w:szCs w:val="24"/>
    </w:rPr>
  </w:style>
  <w:style w:type="character" w:customStyle="1" w:styleId="Heading4Char">
    <w:name w:val="Heading 4 Char"/>
    <w:basedOn w:val="DefaultParagraphFont"/>
    <w:link w:val="Heading4"/>
    <w:uiPriority w:val="9"/>
    <w:semiHidden/>
    <w:rsid w:val="00FA64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64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A64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64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64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4D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94965"/>
    <w:pPr>
      <w:tabs>
        <w:tab w:val="center" w:pos="4680"/>
        <w:tab w:val="right" w:pos="9360"/>
      </w:tabs>
    </w:pPr>
  </w:style>
  <w:style w:type="character" w:customStyle="1" w:styleId="HeaderChar">
    <w:name w:val="Header Char"/>
    <w:basedOn w:val="DefaultParagraphFont"/>
    <w:link w:val="Header"/>
    <w:uiPriority w:val="99"/>
    <w:rsid w:val="00894965"/>
  </w:style>
  <w:style w:type="paragraph" w:styleId="Footer">
    <w:name w:val="footer"/>
    <w:basedOn w:val="Normal"/>
    <w:link w:val="FooterChar"/>
    <w:uiPriority w:val="99"/>
    <w:unhideWhenUsed/>
    <w:rsid w:val="00894965"/>
    <w:pPr>
      <w:tabs>
        <w:tab w:val="center" w:pos="4680"/>
        <w:tab w:val="right" w:pos="9360"/>
      </w:tabs>
    </w:pPr>
  </w:style>
  <w:style w:type="character" w:customStyle="1" w:styleId="FooterChar">
    <w:name w:val="Footer Char"/>
    <w:basedOn w:val="DefaultParagraphFont"/>
    <w:link w:val="Footer"/>
    <w:uiPriority w:val="99"/>
    <w:rsid w:val="00894965"/>
  </w:style>
  <w:style w:type="paragraph" w:customStyle="1" w:styleId="Default">
    <w:name w:val="Default"/>
    <w:rsid w:val="00872779"/>
    <w:pPr>
      <w:autoSpaceDE w:val="0"/>
      <w:autoSpaceDN w:val="0"/>
      <w:adjustRightInd w:val="0"/>
    </w:pPr>
    <w:rPr>
      <w:rFonts w:ascii="Century" w:hAnsi="Century" w:cs="Century"/>
      <w:color w:val="000000"/>
      <w:sz w:val="24"/>
      <w:szCs w:val="24"/>
    </w:rPr>
  </w:style>
  <w:style w:type="character" w:styleId="Emphasis">
    <w:name w:val="Emphasis"/>
    <w:basedOn w:val="DefaultParagraphFont"/>
    <w:uiPriority w:val="20"/>
    <w:qFormat/>
    <w:rsid w:val="00502932"/>
    <w:rPr>
      <w:i/>
      <w:iCs/>
    </w:rPr>
  </w:style>
  <w:style w:type="paragraph" w:styleId="Revision">
    <w:name w:val="Revision"/>
    <w:hidden/>
    <w:uiPriority w:val="99"/>
    <w:semiHidden/>
    <w:rsid w:val="003B3EFD"/>
  </w:style>
  <w:style w:type="character" w:styleId="FollowedHyperlink">
    <w:name w:val="FollowedHyperlink"/>
    <w:basedOn w:val="DefaultParagraphFont"/>
    <w:uiPriority w:val="99"/>
    <w:semiHidden/>
    <w:unhideWhenUsed/>
    <w:rsid w:val="006A4AF1"/>
    <w:rPr>
      <w:color w:val="954F72" w:themeColor="followedHyperlink"/>
      <w:u w:val="single"/>
    </w:rPr>
  </w:style>
  <w:style w:type="table" w:styleId="TableGrid">
    <w:name w:val="Table Grid"/>
    <w:basedOn w:val="TableNormal"/>
    <w:rsid w:val="000F005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491"/>
    <w:rPr>
      <w:color w:val="808080"/>
    </w:rPr>
  </w:style>
  <w:style w:type="paragraph" w:styleId="Title">
    <w:name w:val="Title"/>
    <w:basedOn w:val="Normal"/>
    <w:next w:val="Normal"/>
    <w:link w:val="TitleChar"/>
    <w:uiPriority w:val="10"/>
    <w:qFormat/>
    <w:rsid w:val="00756EB0"/>
    <w:pPr>
      <w:ind w:firstLine="0"/>
      <w:jc w:val="center"/>
    </w:pPr>
    <w:rPr>
      <w:b/>
      <w:caps/>
    </w:rPr>
  </w:style>
  <w:style w:type="character" w:customStyle="1" w:styleId="TitleChar">
    <w:name w:val="Title Char"/>
    <w:basedOn w:val="DefaultParagraphFont"/>
    <w:link w:val="Title"/>
    <w:uiPriority w:val="10"/>
    <w:rsid w:val="00756EB0"/>
    <w:rPr>
      <w:rFonts w:ascii="Century Schoolbook" w:hAnsi="Century Schoolbook" w:cs="Times New Roman"/>
      <w:b/>
      <w:caps/>
      <w:sz w:val="24"/>
      <w:szCs w:val="24"/>
    </w:rPr>
  </w:style>
  <w:style w:type="paragraph" w:styleId="Subtitle">
    <w:name w:val="Subtitle"/>
    <w:basedOn w:val="Normal"/>
    <w:next w:val="Normal"/>
    <w:link w:val="SubtitleChar"/>
    <w:uiPriority w:val="11"/>
    <w:rsid w:val="00315127"/>
    <w:pPr>
      <w:numPr>
        <w:numId w:val="26"/>
      </w:numPr>
      <w:ind w:left="540" w:hanging="540"/>
      <w:outlineLvl w:val="1"/>
    </w:pPr>
    <w:rPr>
      <w:b/>
    </w:rPr>
  </w:style>
  <w:style w:type="character" w:customStyle="1" w:styleId="SubtitleChar">
    <w:name w:val="Subtitle Char"/>
    <w:basedOn w:val="DefaultParagraphFont"/>
    <w:link w:val="Subtitle"/>
    <w:uiPriority w:val="11"/>
    <w:rsid w:val="00315127"/>
    <w:rPr>
      <w:rFonts w:ascii="Century Schoolbook" w:hAnsi="Century Schoolbook" w:cs="Times New Roman"/>
      <w:b/>
      <w:sz w:val="24"/>
      <w:szCs w:val="24"/>
    </w:rPr>
  </w:style>
  <w:style w:type="character" w:styleId="SubtleEmphasis">
    <w:name w:val="Subtle Emphasis"/>
    <w:basedOn w:val="DefaultParagraphFont"/>
    <w:uiPriority w:val="19"/>
    <w:rsid w:val="00F65042"/>
    <w:rPr>
      <w:i/>
      <w:iCs/>
      <w:color w:val="404040" w:themeColor="text1" w:themeTint="BF"/>
    </w:rPr>
  </w:style>
  <w:style w:type="paragraph" w:styleId="NoSpacing">
    <w:name w:val="No Spacing"/>
    <w:uiPriority w:val="1"/>
    <w:qFormat/>
    <w:rsid w:val="004865B8"/>
    <w:pPr>
      <w:ind w:firstLine="540"/>
      <w:jc w:val="both"/>
    </w:pPr>
    <w:rPr>
      <w:rFonts w:ascii="Century Schoolbook" w:hAnsi="Century Schoolbook" w:cs="Times New Roman"/>
      <w:sz w:val="24"/>
      <w:szCs w:val="24"/>
    </w:rPr>
  </w:style>
  <w:style w:type="paragraph" w:customStyle="1" w:styleId="BlockText1">
    <w:name w:val="Block Text1"/>
    <w:basedOn w:val="Normal"/>
    <w:qFormat/>
    <w:rsid w:val="00A36C87"/>
    <w:pPr>
      <w:keepNext/>
      <w:ind w:left="540" w:right="532" w:firstLine="0"/>
    </w:pPr>
  </w:style>
  <w:style w:type="character" w:styleId="UnresolvedMention">
    <w:name w:val="Unresolved Mention"/>
    <w:basedOn w:val="DefaultParagraphFont"/>
    <w:uiPriority w:val="99"/>
    <w:semiHidden/>
    <w:unhideWhenUsed/>
    <w:rsid w:val="008B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834">
      <w:bodyDiv w:val="1"/>
      <w:marLeft w:val="0"/>
      <w:marRight w:val="0"/>
      <w:marTop w:val="0"/>
      <w:marBottom w:val="0"/>
      <w:divBdr>
        <w:top w:val="none" w:sz="0" w:space="0" w:color="auto"/>
        <w:left w:val="none" w:sz="0" w:space="0" w:color="auto"/>
        <w:bottom w:val="none" w:sz="0" w:space="0" w:color="auto"/>
        <w:right w:val="none" w:sz="0" w:space="0" w:color="auto"/>
      </w:divBdr>
    </w:div>
    <w:div w:id="13968110">
      <w:bodyDiv w:val="1"/>
      <w:marLeft w:val="0"/>
      <w:marRight w:val="0"/>
      <w:marTop w:val="0"/>
      <w:marBottom w:val="0"/>
      <w:divBdr>
        <w:top w:val="none" w:sz="0" w:space="0" w:color="auto"/>
        <w:left w:val="none" w:sz="0" w:space="0" w:color="auto"/>
        <w:bottom w:val="none" w:sz="0" w:space="0" w:color="auto"/>
        <w:right w:val="none" w:sz="0" w:space="0" w:color="auto"/>
      </w:divBdr>
    </w:div>
    <w:div w:id="26149492">
      <w:bodyDiv w:val="1"/>
      <w:marLeft w:val="0"/>
      <w:marRight w:val="0"/>
      <w:marTop w:val="0"/>
      <w:marBottom w:val="0"/>
      <w:divBdr>
        <w:top w:val="none" w:sz="0" w:space="0" w:color="auto"/>
        <w:left w:val="none" w:sz="0" w:space="0" w:color="auto"/>
        <w:bottom w:val="none" w:sz="0" w:space="0" w:color="auto"/>
        <w:right w:val="none" w:sz="0" w:space="0" w:color="auto"/>
      </w:divBdr>
    </w:div>
    <w:div w:id="33233688">
      <w:bodyDiv w:val="1"/>
      <w:marLeft w:val="0"/>
      <w:marRight w:val="0"/>
      <w:marTop w:val="0"/>
      <w:marBottom w:val="0"/>
      <w:divBdr>
        <w:top w:val="none" w:sz="0" w:space="0" w:color="auto"/>
        <w:left w:val="none" w:sz="0" w:space="0" w:color="auto"/>
        <w:bottom w:val="none" w:sz="0" w:space="0" w:color="auto"/>
        <w:right w:val="none" w:sz="0" w:space="0" w:color="auto"/>
      </w:divBdr>
    </w:div>
    <w:div w:id="106587658">
      <w:bodyDiv w:val="1"/>
      <w:marLeft w:val="0"/>
      <w:marRight w:val="0"/>
      <w:marTop w:val="0"/>
      <w:marBottom w:val="0"/>
      <w:divBdr>
        <w:top w:val="none" w:sz="0" w:space="0" w:color="auto"/>
        <w:left w:val="none" w:sz="0" w:space="0" w:color="auto"/>
        <w:bottom w:val="none" w:sz="0" w:space="0" w:color="auto"/>
        <w:right w:val="none" w:sz="0" w:space="0" w:color="auto"/>
      </w:divBdr>
    </w:div>
    <w:div w:id="113718965">
      <w:bodyDiv w:val="1"/>
      <w:marLeft w:val="0"/>
      <w:marRight w:val="0"/>
      <w:marTop w:val="0"/>
      <w:marBottom w:val="0"/>
      <w:divBdr>
        <w:top w:val="none" w:sz="0" w:space="0" w:color="auto"/>
        <w:left w:val="none" w:sz="0" w:space="0" w:color="auto"/>
        <w:bottom w:val="none" w:sz="0" w:space="0" w:color="auto"/>
        <w:right w:val="none" w:sz="0" w:space="0" w:color="auto"/>
      </w:divBdr>
    </w:div>
    <w:div w:id="131018923">
      <w:bodyDiv w:val="1"/>
      <w:marLeft w:val="0"/>
      <w:marRight w:val="0"/>
      <w:marTop w:val="0"/>
      <w:marBottom w:val="0"/>
      <w:divBdr>
        <w:top w:val="none" w:sz="0" w:space="0" w:color="auto"/>
        <w:left w:val="none" w:sz="0" w:space="0" w:color="auto"/>
        <w:bottom w:val="none" w:sz="0" w:space="0" w:color="auto"/>
        <w:right w:val="none" w:sz="0" w:space="0" w:color="auto"/>
      </w:divBdr>
    </w:div>
    <w:div w:id="152987897">
      <w:bodyDiv w:val="1"/>
      <w:marLeft w:val="0"/>
      <w:marRight w:val="0"/>
      <w:marTop w:val="0"/>
      <w:marBottom w:val="0"/>
      <w:divBdr>
        <w:top w:val="none" w:sz="0" w:space="0" w:color="auto"/>
        <w:left w:val="none" w:sz="0" w:space="0" w:color="auto"/>
        <w:bottom w:val="none" w:sz="0" w:space="0" w:color="auto"/>
        <w:right w:val="none" w:sz="0" w:space="0" w:color="auto"/>
      </w:divBdr>
    </w:div>
    <w:div w:id="189419314">
      <w:bodyDiv w:val="1"/>
      <w:marLeft w:val="0"/>
      <w:marRight w:val="0"/>
      <w:marTop w:val="0"/>
      <w:marBottom w:val="0"/>
      <w:divBdr>
        <w:top w:val="none" w:sz="0" w:space="0" w:color="auto"/>
        <w:left w:val="none" w:sz="0" w:space="0" w:color="auto"/>
        <w:bottom w:val="none" w:sz="0" w:space="0" w:color="auto"/>
        <w:right w:val="none" w:sz="0" w:space="0" w:color="auto"/>
      </w:divBdr>
    </w:div>
    <w:div w:id="202136801">
      <w:bodyDiv w:val="1"/>
      <w:marLeft w:val="0"/>
      <w:marRight w:val="0"/>
      <w:marTop w:val="0"/>
      <w:marBottom w:val="0"/>
      <w:divBdr>
        <w:top w:val="none" w:sz="0" w:space="0" w:color="auto"/>
        <w:left w:val="none" w:sz="0" w:space="0" w:color="auto"/>
        <w:bottom w:val="none" w:sz="0" w:space="0" w:color="auto"/>
        <w:right w:val="none" w:sz="0" w:space="0" w:color="auto"/>
      </w:divBdr>
    </w:div>
    <w:div w:id="202838538">
      <w:bodyDiv w:val="1"/>
      <w:marLeft w:val="0"/>
      <w:marRight w:val="0"/>
      <w:marTop w:val="0"/>
      <w:marBottom w:val="0"/>
      <w:divBdr>
        <w:top w:val="none" w:sz="0" w:space="0" w:color="auto"/>
        <w:left w:val="none" w:sz="0" w:space="0" w:color="auto"/>
        <w:bottom w:val="none" w:sz="0" w:space="0" w:color="auto"/>
        <w:right w:val="none" w:sz="0" w:space="0" w:color="auto"/>
      </w:divBdr>
    </w:div>
    <w:div w:id="207883054">
      <w:bodyDiv w:val="1"/>
      <w:marLeft w:val="0"/>
      <w:marRight w:val="0"/>
      <w:marTop w:val="0"/>
      <w:marBottom w:val="0"/>
      <w:divBdr>
        <w:top w:val="none" w:sz="0" w:space="0" w:color="auto"/>
        <w:left w:val="none" w:sz="0" w:space="0" w:color="auto"/>
        <w:bottom w:val="none" w:sz="0" w:space="0" w:color="auto"/>
        <w:right w:val="none" w:sz="0" w:space="0" w:color="auto"/>
      </w:divBdr>
    </w:div>
    <w:div w:id="272903484">
      <w:bodyDiv w:val="1"/>
      <w:marLeft w:val="0"/>
      <w:marRight w:val="0"/>
      <w:marTop w:val="0"/>
      <w:marBottom w:val="0"/>
      <w:divBdr>
        <w:top w:val="none" w:sz="0" w:space="0" w:color="auto"/>
        <w:left w:val="none" w:sz="0" w:space="0" w:color="auto"/>
        <w:bottom w:val="none" w:sz="0" w:space="0" w:color="auto"/>
        <w:right w:val="none" w:sz="0" w:space="0" w:color="auto"/>
      </w:divBdr>
    </w:div>
    <w:div w:id="274868590">
      <w:bodyDiv w:val="1"/>
      <w:marLeft w:val="0"/>
      <w:marRight w:val="0"/>
      <w:marTop w:val="0"/>
      <w:marBottom w:val="0"/>
      <w:divBdr>
        <w:top w:val="none" w:sz="0" w:space="0" w:color="auto"/>
        <w:left w:val="none" w:sz="0" w:space="0" w:color="auto"/>
        <w:bottom w:val="none" w:sz="0" w:space="0" w:color="auto"/>
        <w:right w:val="none" w:sz="0" w:space="0" w:color="auto"/>
      </w:divBdr>
    </w:div>
    <w:div w:id="301080257">
      <w:bodyDiv w:val="1"/>
      <w:marLeft w:val="0"/>
      <w:marRight w:val="0"/>
      <w:marTop w:val="0"/>
      <w:marBottom w:val="0"/>
      <w:divBdr>
        <w:top w:val="none" w:sz="0" w:space="0" w:color="auto"/>
        <w:left w:val="none" w:sz="0" w:space="0" w:color="auto"/>
        <w:bottom w:val="none" w:sz="0" w:space="0" w:color="auto"/>
        <w:right w:val="none" w:sz="0" w:space="0" w:color="auto"/>
      </w:divBdr>
    </w:div>
    <w:div w:id="314379421">
      <w:bodyDiv w:val="1"/>
      <w:marLeft w:val="0"/>
      <w:marRight w:val="0"/>
      <w:marTop w:val="0"/>
      <w:marBottom w:val="0"/>
      <w:divBdr>
        <w:top w:val="none" w:sz="0" w:space="0" w:color="auto"/>
        <w:left w:val="none" w:sz="0" w:space="0" w:color="auto"/>
        <w:bottom w:val="none" w:sz="0" w:space="0" w:color="auto"/>
        <w:right w:val="none" w:sz="0" w:space="0" w:color="auto"/>
      </w:divBdr>
    </w:div>
    <w:div w:id="364019284">
      <w:bodyDiv w:val="1"/>
      <w:marLeft w:val="0"/>
      <w:marRight w:val="0"/>
      <w:marTop w:val="0"/>
      <w:marBottom w:val="0"/>
      <w:divBdr>
        <w:top w:val="none" w:sz="0" w:space="0" w:color="auto"/>
        <w:left w:val="none" w:sz="0" w:space="0" w:color="auto"/>
        <w:bottom w:val="none" w:sz="0" w:space="0" w:color="auto"/>
        <w:right w:val="none" w:sz="0" w:space="0" w:color="auto"/>
      </w:divBdr>
    </w:div>
    <w:div w:id="369378736">
      <w:bodyDiv w:val="1"/>
      <w:marLeft w:val="0"/>
      <w:marRight w:val="0"/>
      <w:marTop w:val="0"/>
      <w:marBottom w:val="0"/>
      <w:divBdr>
        <w:top w:val="none" w:sz="0" w:space="0" w:color="auto"/>
        <w:left w:val="none" w:sz="0" w:space="0" w:color="auto"/>
        <w:bottom w:val="none" w:sz="0" w:space="0" w:color="auto"/>
        <w:right w:val="none" w:sz="0" w:space="0" w:color="auto"/>
      </w:divBdr>
    </w:div>
    <w:div w:id="383868117">
      <w:bodyDiv w:val="1"/>
      <w:marLeft w:val="0"/>
      <w:marRight w:val="0"/>
      <w:marTop w:val="0"/>
      <w:marBottom w:val="0"/>
      <w:divBdr>
        <w:top w:val="none" w:sz="0" w:space="0" w:color="auto"/>
        <w:left w:val="none" w:sz="0" w:space="0" w:color="auto"/>
        <w:bottom w:val="none" w:sz="0" w:space="0" w:color="auto"/>
        <w:right w:val="none" w:sz="0" w:space="0" w:color="auto"/>
      </w:divBdr>
    </w:div>
    <w:div w:id="414597605">
      <w:bodyDiv w:val="1"/>
      <w:marLeft w:val="0"/>
      <w:marRight w:val="0"/>
      <w:marTop w:val="0"/>
      <w:marBottom w:val="0"/>
      <w:divBdr>
        <w:top w:val="none" w:sz="0" w:space="0" w:color="auto"/>
        <w:left w:val="none" w:sz="0" w:space="0" w:color="auto"/>
        <w:bottom w:val="none" w:sz="0" w:space="0" w:color="auto"/>
        <w:right w:val="none" w:sz="0" w:space="0" w:color="auto"/>
      </w:divBdr>
    </w:div>
    <w:div w:id="415248518">
      <w:bodyDiv w:val="1"/>
      <w:marLeft w:val="0"/>
      <w:marRight w:val="0"/>
      <w:marTop w:val="0"/>
      <w:marBottom w:val="0"/>
      <w:divBdr>
        <w:top w:val="none" w:sz="0" w:space="0" w:color="auto"/>
        <w:left w:val="none" w:sz="0" w:space="0" w:color="auto"/>
        <w:bottom w:val="none" w:sz="0" w:space="0" w:color="auto"/>
        <w:right w:val="none" w:sz="0" w:space="0" w:color="auto"/>
      </w:divBdr>
    </w:div>
    <w:div w:id="429933808">
      <w:bodyDiv w:val="1"/>
      <w:marLeft w:val="0"/>
      <w:marRight w:val="0"/>
      <w:marTop w:val="0"/>
      <w:marBottom w:val="0"/>
      <w:divBdr>
        <w:top w:val="none" w:sz="0" w:space="0" w:color="auto"/>
        <w:left w:val="none" w:sz="0" w:space="0" w:color="auto"/>
        <w:bottom w:val="none" w:sz="0" w:space="0" w:color="auto"/>
        <w:right w:val="none" w:sz="0" w:space="0" w:color="auto"/>
      </w:divBdr>
    </w:div>
    <w:div w:id="452094718">
      <w:bodyDiv w:val="1"/>
      <w:marLeft w:val="0"/>
      <w:marRight w:val="0"/>
      <w:marTop w:val="0"/>
      <w:marBottom w:val="0"/>
      <w:divBdr>
        <w:top w:val="none" w:sz="0" w:space="0" w:color="auto"/>
        <w:left w:val="none" w:sz="0" w:space="0" w:color="auto"/>
        <w:bottom w:val="none" w:sz="0" w:space="0" w:color="auto"/>
        <w:right w:val="none" w:sz="0" w:space="0" w:color="auto"/>
      </w:divBdr>
    </w:div>
    <w:div w:id="575168443">
      <w:bodyDiv w:val="1"/>
      <w:marLeft w:val="0"/>
      <w:marRight w:val="0"/>
      <w:marTop w:val="0"/>
      <w:marBottom w:val="0"/>
      <w:divBdr>
        <w:top w:val="none" w:sz="0" w:space="0" w:color="auto"/>
        <w:left w:val="none" w:sz="0" w:space="0" w:color="auto"/>
        <w:bottom w:val="none" w:sz="0" w:space="0" w:color="auto"/>
        <w:right w:val="none" w:sz="0" w:space="0" w:color="auto"/>
      </w:divBdr>
    </w:div>
    <w:div w:id="619724628">
      <w:bodyDiv w:val="1"/>
      <w:marLeft w:val="0"/>
      <w:marRight w:val="0"/>
      <w:marTop w:val="0"/>
      <w:marBottom w:val="0"/>
      <w:divBdr>
        <w:top w:val="none" w:sz="0" w:space="0" w:color="auto"/>
        <w:left w:val="none" w:sz="0" w:space="0" w:color="auto"/>
        <w:bottom w:val="none" w:sz="0" w:space="0" w:color="auto"/>
        <w:right w:val="none" w:sz="0" w:space="0" w:color="auto"/>
      </w:divBdr>
    </w:div>
    <w:div w:id="631792243">
      <w:bodyDiv w:val="1"/>
      <w:marLeft w:val="0"/>
      <w:marRight w:val="0"/>
      <w:marTop w:val="0"/>
      <w:marBottom w:val="0"/>
      <w:divBdr>
        <w:top w:val="none" w:sz="0" w:space="0" w:color="auto"/>
        <w:left w:val="none" w:sz="0" w:space="0" w:color="auto"/>
        <w:bottom w:val="none" w:sz="0" w:space="0" w:color="auto"/>
        <w:right w:val="none" w:sz="0" w:space="0" w:color="auto"/>
      </w:divBdr>
    </w:div>
    <w:div w:id="645088836">
      <w:bodyDiv w:val="1"/>
      <w:marLeft w:val="0"/>
      <w:marRight w:val="0"/>
      <w:marTop w:val="0"/>
      <w:marBottom w:val="0"/>
      <w:divBdr>
        <w:top w:val="none" w:sz="0" w:space="0" w:color="auto"/>
        <w:left w:val="none" w:sz="0" w:space="0" w:color="auto"/>
        <w:bottom w:val="none" w:sz="0" w:space="0" w:color="auto"/>
        <w:right w:val="none" w:sz="0" w:space="0" w:color="auto"/>
      </w:divBdr>
    </w:div>
    <w:div w:id="733237330">
      <w:bodyDiv w:val="1"/>
      <w:marLeft w:val="0"/>
      <w:marRight w:val="0"/>
      <w:marTop w:val="0"/>
      <w:marBottom w:val="0"/>
      <w:divBdr>
        <w:top w:val="none" w:sz="0" w:space="0" w:color="auto"/>
        <w:left w:val="none" w:sz="0" w:space="0" w:color="auto"/>
        <w:bottom w:val="none" w:sz="0" w:space="0" w:color="auto"/>
        <w:right w:val="none" w:sz="0" w:space="0" w:color="auto"/>
      </w:divBdr>
    </w:div>
    <w:div w:id="806631094">
      <w:bodyDiv w:val="1"/>
      <w:marLeft w:val="0"/>
      <w:marRight w:val="0"/>
      <w:marTop w:val="0"/>
      <w:marBottom w:val="0"/>
      <w:divBdr>
        <w:top w:val="none" w:sz="0" w:space="0" w:color="auto"/>
        <w:left w:val="none" w:sz="0" w:space="0" w:color="auto"/>
        <w:bottom w:val="none" w:sz="0" w:space="0" w:color="auto"/>
        <w:right w:val="none" w:sz="0" w:space="0" w:color="auto"/>
      </w:divBdr>
    </w:div>
    <w:div w:id="815682316">
      <w:bodyDiv w:val="1"/>
      <w:marLeft w:val="0"/>
      <w:marRight w:val="0"/>
      <w:marTop w:val="0"/>
      <w:marBottom w:val="0"/>
      <w:divBdr>
        <w:top w:val="none" w:sz="0" w:space="0" w:color="auto"/>
        <w:left w:val="none" w:sz="0" w:space="0" w:color="auto"/>
        <w:bottom w:val="none" w:sz="0" w:space="0" w:color="auto"/>
        <w:right w:val="none" w:sz="0" w:space="0" w:color="auto"/>
      </w:divBdr>
    </w:div>
    <w:div w:id="844134282">
      <w:bodyDiv w:val="1"/>
      <w:marLeft w:val="0"/>
      <w:marRight w:val="0"/>
      <w:marTop w:val="0"/>
      <w:marBottom w:val="0"/>
      <w:divBdr>
        <w:top w:val="none" w:sz="0" w:space="0" w:color="auto"/>
        <w:left w:val="none" w:sz="0" w:space="0" w:color="auto"/>
        <w:bottom w:val="none" w:sz="0" w:space="0" w:color="auto"/>
        <w:right w:val="none" w:sz="0" w:space="0" w:color="auto"/>
      </w:divBdr>
    </w:div>
    <w:div w:id="852112901">
      <w:bodyDiv w:val="1"/>
      <w:marLeft w:val="0"/>
      <w:marRight w:val="0"/>
      <w:marTop w:val="0"/>
      <w:marBottom w:val="0"/>
      <w:divBdr>
        <w:top w:val="none" w:sz="0" w:space="0" w:color="auto"/>
        <w:left w:val="none" w:sz="0" w:space="0" w:color="auto"/>
        <w:bottom w:val="none" w:sz="0" w:space="0" w:color="auto"/>
        <w:right w:val="none" w:sz="0" w:space="0" w:color="auto"/>
      </w:divBdr>
    </w:div>
    <w:div w:id="873423834">
      <w:bodyDiv w:val="1"/>
      <w:marLeft w:val="0"/>
      <w:marRight w:val="0"/>
      <w:marTop w:val="0"/>
      <w:marBottom w:val="0"/>
      <w:divBdr>
        <w:top w:val="none" w:sz="0" w:space="0" w:color="auto"/>
        <w:left w:val="none" w:sz="0" w:space="0" w:color="auto"/>
        <w:bottom w:val="none" w:sz="0" w:space="0" w:color="auto"/>
        <w:right w:val="none" w:sz="0" w:space="0" w:color="auto"/>
      </w:divBdr>
    </w:div>
    <w:div w:id="918757721">
      <w:bodyDiv w:val="1"/>
      <w:marLeft w:val="0"/>
      <w:marRight w:val="0"/>
      <w:marTop w:val="0"/>
      <w:marBottom w:val="0"/>
      <w:divBdr>
        <w:top w:val="none" w:sz="0" w:space="0" w:color="auto"/>
        <w:left w:val="none" w:sz="0" w:space="0" w:color="auto"/>
        <w:bottom w:val="none" w:sz="0" w:space="0" w:color="auto"/>
        <w:right w:val="none" w:sz="0" w:space="0" w:color="auto"/>
      </w:divBdr>
    </w:div>
    <w:div w:id="920068529">
      <w:bodyDiv w:val="1"/>
      <w:marLeft w:val="0"/>
      <w:marRight w:val="0"/>
      <w:marTop w:val="0"/>
      <w:marBottom w:val="0"/>
      <w:divBdr>
        <w:top w:val="none" w:sz="0" w:space="0" w:color="auto"/>
        <w:left w:val="none" w:sz="0" w:space="0" w:color="auto"/>
        <w:bottom w:val="none" w:sz="0" w:space="0" w:color="auto"/>
        <w:right w:val="none" w:sz="0" w:space="0" w:color="auto"/>
      </w:divBdr>
    </w:div>
    <w:div w:id="933633408">
      <w:bodyDiv w:val="1"/>
      <w:marLeft w:val="0"/>
      <w:marRight w:val="0"/>
      <w:marTop w:val="0"/>
      <w:marBottom w:val="0"/>
      <w:divBdr>
        <w:top w:val="none" w:sz="0" w:space="0" w:color="auto"/>
        <w:left w:val="none" w:sz="0" w:space="0" w:color="auto"/>
        <w:bottom w:val="none" w:sz="0" w:space="0" w:color="auto"/>
        <w:right w:val="none" w:sz="0" w:space="0" w:color="auto"/>
      </w:divBdr>
    </w:div>
    <w:div w:id="1042949201">
      <w:bodyDiv w:val="1"/>
      <w:marLeft w:val="0"/>
      <w:marRight w:val="0"/>
      <w:marTop w:val="0"/>
      <w:marBottom w:val="0"/>
      <w:divBdr>
        <w:top w:val="none" w:sz="0" w:space="0" w:color="auto"/>
        <w:left w:val="none" w:sz="0" w:space="0" w:color="auto"/>
        <w:bottom w:val="none" w:sz="0" w:space="0" w:color="auto"/>
        <w:right w:val="none" w:sz="0" w:space="0" w:color="auto"/>
      </w:divBdr>
    </w:div>
    <w:div w:id="1065682825">
      <w:bodyDiv w:val="1"/>
      <w:marLeft w:val="0"/>
      <w:marRight w:val="0"/>
      <w:marTop w:val="0"/>
      <w:marBottom w:val="0"/>
      <w:divBdr>
        <w:top w:val="none" w:sz="0" w:space="0" w:color="auto"/>
        <w:left w:val="none" w:sz="0" w:space="0" w:color="auto"/>
        <w:bottom w:val="none" w:sz="0" w:space="0" w:color="auto"/>
        <w:right w:val="none" w:sz="0" w:space="0" w:color="auto"/>
      </w:divBdr>
    </w:div>
    <w:div w:id="1090351966">
      <w:bodyDiv w:val="1"/>
      <w:marLeft w:val="0"/>
      <w:marRight w:val="0"/>
      <w:marTop w:val="0"/>
      <w:marBottom w:val="0"/>
      <w:divBdr>
        <w:top w:val="none" w:sz="0" w:space="0" w:color="auto"/>
        <w:left w:val="none" w:sz="0" w:space="0" w:color="auto"/>
        <w:bottom w:val="none" w:sz="0" w:space="0" w:color="auto"/>
        <w:right w:val="none" w:sz="0" w:space="0" w:color="auto"/>
      </w:divBdr>
    </w:div>
    <w:div w:id="1117985327">
      <w:bodyDiv w:val="1"/>
      <w:marLeft w:val="0"/>
      <w:marRight w:val="0"/>
      <w:marTop w:val="0"/>
      <w:marBottom w:val="0"/>
      <w:divBdr>
        <w:top w:val="none" w:sz="0" w:space="0" w:color="auto"/>
        <w:left w:val="none" w:sz="0" w:space="0" w:color="auto"/>
        <w:bottom w:val="none" w:sz="0" w:space="0" w:color="auto"/>
        <w:right w:val="none" w:sz="0" w:space="0" w:color="auto"/>
      </w:divBdr>
    </w:div>
    <w:div w:id="1186821059">
      <w:bodyDiv w:val="1"/>
      <w:marLeft w:val="0"/>
      <w:marRight w:val="0"/>
      <w:marTop w:val="0"/>
      <w:marBottom w:val="0"/>
      <w:divBdr>
        <w:top w:val="none" w:sz="0" w:space="0" w:color="auto"/>
        <w:left w:val="none" w:sz="0" w:space="0" w:color="auto"/>
        <w:bottom w:val="none" w:sz="0" w:space="0" w:color="auto"/>
        <w:right w:val="none" w:sz="0" w:space="0" w:color="auto"/>
      </w:divBdr>
    </w:div>
    <w:div w:id="1189248123">
      <w:bodyDiv w:val="1"/>
      <w:marLeft w:val="0"/>
      <w:marRight w:val="0"/>
      <w:marTop w:val="0"/>
      <w:marBottom w:val="0"/>
      <w:divBdr>
        <w:top w:val="none" w:sz="0" w:space="0" w:color="auto"/>
        <w:left w:val="none" w:sz="0" w:space="0" w:color="auto"/>
        <w:bottom w:val="none" w:sz="0" w:space="0" w:color="auto"/>
        <w:right w:val="none" w:sz="0" w:space="0" w:color="auto"/>
      </w:divBdr>
    </w:div>
    <w:div w:id="1217741433">
      <w:bodyDiv w:val="1"/>
      <w:marLeft w:val="0"/>
      <w:marRight w:val="0"/>
      <w:marTop w:val="0"/>
      <w:marBottom w:val="0"/>
      <w:divBdr>
        <w:top w:val="none" w:sz="0" w:space="0" w:color="auto"/>
        <w:left w:val="none" w:sz="0" w:space="0" w:color="auto"/>
        <w:bottom w:val="none" w:sz="0" w:space="0" w:color="auto"/>
        <w:right w:val="none" w:sz="0" w:space="0" w:color="auto"/>
      </w:divBdr>
    </w:div>
    <w:div w:id="1225606396">
      <w:bodyDiv w:val="1"/>
      <w:marLeft w:val="0"/>
      <w:marRight w:val="0"/>
      <w:marTop w:val="0"/>
      <w:marBottom w:val="0"/>
      <w:divBdr>
        <w:top w:val="none" w:sz="0" w:space="0" w:color="auto"/>
        <w:left w:val="none" w:sz="0" w:space="0" w:color="auto"/>
        <w:bottom w:val="none" w:sz="0" w:space="0" w:color="auto"/>
        <w:right w:val="none" w:sz="0" w:space="0" w:color="auto"/>
      </w:divBdr>
    </w:div>
    <w:div w:id="1226066819">
      <w:bodyDiv w:val="1"/>
      <w:marLeft w:val="0"/>
      <w:marRight w:val="0"/>
      <w:marTop w:val="0"/>
      <w:marBottom w:val="0"/>
      <w:divBdr>
        <w:top w:val="none" w:sz="0" w:space="0" w:color="auto"/>
        <w:left w:val="none" w:sz="0" w:space="0" w:color="auto"/>
        <w:bottom w:val="none" w:sz="0" w:space="0" w:color="auto"/>
        <w:right w:val="none" w:sz="0" w:space="0" w:color="auto"/>
      </w:divBdr>
    </w:div>
    <w:div w:id="1228108779">
      <w:bodyDiv w:val="1"/>
      <w:marLeft w:val="0"/>
      <w:marRight w:val="0"/>
      <w:marTop w:val="0"/>
      <w:marBottom w:val="0"/>
      <w:divBdr>
        <w:top w:val="none" w:sz="0" w:space="0" w:color="auto"/>
        <w:left w:val="none" w:sz="0" w:space="0" w:color="auto"/>
        <w:bottom w:val="none" w:sz="0" w:space="0" w:color="auto"/>
        <w:right w:val="none" w:sz="0" w:space="0" w:color="auto"/>
      </w:divBdr>
    </w:div>
    <w:div w:id="1253467881">
      <w:bodyDiv w:val="1"/>
      <w:marLeft w:val="0"/>
      <w:marRight w:val="0"/>
      <w:marTop w:val="0"/>
      <w:marBottom w:val="0"/>
      <w:divBdr>
        <w:top w:val="none" w:sz="0" w:space="0" w:color="auto"/>
        <w:left w:val="none" w:sz="0" w:space="0" w:color="auto"/>
        <w:bottom w:val="none" w:sz="0" w:space="0" w:color="auto"/>
        <w:right w:val="none" w:sz="0" w:space="0" w:color="auto"/>
      </w:divBdr>
    </w:div>
    <w:div w:id="1286619689">
      <w:bodyDiv w:val="1"/>
      <w:marLeft w:val="0"/>
      <w:marRight w:val="0"/>
      <w:marTop w:val="0"/>
      <w:marBottom w:val="0"/>
      <w:divBdr>
        <w:top w:val="none" w:sz="0" w:space="0" w:color="auto"/>
        <w:left w:val="none" w:sz="0" w:space="0" w:color="auto"/>
        <w:bottom w:val="none" w:sz="0" w:space="0" w:color="auto"/>
        <w:right w:val="none" w:sz="0" w:space="0" w:color="auto"/>
      </w:divBdr>
    </w:div>
    <w:div w:id="1380128190">
      <w:bodyDiv w:val="1"/>
      <w:marLeft w:val="0"/>
      <w:marRight w:val="0"/>
      <w:marTop w:val="0"/>
      <w:marBottom w:val="0"/>
      <w:divBdr>
        <w:top w:val="none" w:sz="0" w:space="0" w:color="auto"/>
        <w:left w:val="none" w:sz="0" w:space="0" w:color="auto"/>
        <w:bottom w:val="none" w:sz="0" w:space="0" w:color="auto"/>
        <w:right w:val="none" w:sz="0" w:space="0" w:color="auto"/>
      </w:divBdr>
    </w:div>
    <w:div w:id="1384140872">
      <w:bodyDiv w:val="1"/>
      <w:marLeft w:val="0"/>
      <w:marRight w:val="0"/>
      <w:marTop w:val="0"/>
      <w:marBottom w:val="0"/>
      <w:divBdr>
        <w:top w:val="none" w:sz="0" w:space="0" w:color="auto"/>
        <w:left w:val="none" w:sz="0" w:space="0" w:color="auto"/>
        <w:bottom w:val="none" w:sz="0" w:space="0" w:color="auto"/>
        <w:right w:val="none" w:sz="0" w:space="0" w:color="auto"/>
      </w:divBdr>
    </w:div>
    <w:div w:id="1400246560">
      <w:bodyDiv w:val="1"/>
      <w:marLeft w:val="0"/>
      <w:marRight w:val="0"/>
      <w:marTop w:val="0"/>
      <w:marBottom w:val="0"/>
      <w:divBdr>
        <w:top w:val="none" w:sz="0" w:space="0" w:color="auto"/>
        <w:left w:val="none" w:sz="0" w:space="0" w:color="auto"/>
        <w:bottom w:val="none" w:sz="0" w:space="0" w:color="auto"/>
        <w:right w:val="none" w:sz="0" w:space="0" w:color="auto"/>
      </w:divBdr>
    </w:div>
    <w:div w:id="1408724082">
      <w:bodyDiv w:val="1"/>
      <w:marLeft w:val="0"/>
      <w:marRight w:val="0"/>
      <w:marTop w:val="0"/>
      <w:marBottom w:val="0"/>
      <w:divBdr>
        <w:top w:val="none" w:sz="0" w:space="0" w:color="auto"/>
        <w:left w:val="none" w:sz="0" w:space="0" w:color="auto"/>
        <w:bottom w:val="none" w:sz="0" w:space="0" w:color="auto"/>
        <w:right w:val="none" w:sz="0" w:space="0" w:color="auto"/>
      </w:divBdr>
    </w:div>
    <w:div w:id="1477643659">
      <w:bodyDiv w:val="1"/>
      <w:marLeft w:val="0"/>
      <w:marRight w:val="0"/>
      <w:marTop w:val="0"/>
      <w:marBottom w:val="0"/>
      <w:divBdr>
        <w:top w:val="none" w:sz="0" w:space="0" w:color="auto"/>
        <w:left w:val="none" w:sz="0" w:space="0" w:color="auto"/>
        <w:bottom w:val="none" w:sz="0" w:space="0" w:color="auto"/>
        <w:right w:val="none" w:sz="0" w:space="0" w:color="auto"/>
      </w:divBdr>
    </w:div>
    <w:div w:id="1491947925">
      <w:bodyDiv w:val="1"/>
      <w:marLeft w:val="0"/>
      <w:marRight w:val="0"/>
      <w:marTop w:val="0"/>
      <w:marBottom w:val="0"/>
      <w:divBdr>
        <w:top w:val="none" w:sz="0" w:space="0" w:color="auto"/>
        <w:left w:val="none" w:sz="0" w:space="0" w:color="auto"/>
        <w:bottom w:val="none" w:sz="0" w:space="0" w:color="auto"/>
        <w:right w:val="none" w:sz="0" w:space="0" w:color="auto"/>
      </w:divBdr>
    </w:div>
    <w:div w:id="1513952098">
      <w:bodyDiv w:val="1"/>
      <w:marLeft w:val="0"/>
      <w:marRight w:val="0"/>
      <w:marTop w:val="0"/>
      <w:marBottom w:val="0"/>
      <w:divBdr>
        <w:top w:val="none" w:sz="0" w:space="0" w:color="auto"/>
        <w:left w:val="none" w:sz="0" w:space="0" w:color="auto"/>
        <w:bottom w:val="none" w:sz="0" w:space="0" w:color="auto"/>
        <w:right w:val="none" w:sz="0" w:space="0" w:color="auto"/>
      </w:divBdr>
    </w:div>
    <w:div w:id="1548178360">
      <w:bodyDiv w:val="1"/>
      <w:marLeft w:val="0"/>
      <w:marRight w:val="0"/>
      <w:marTop w:val="0"/>
      <w:marBottom w:val="0"/>
      <w:divBdr>
        <w:top w:val="none" w:sz="0" w:space="0" w:color="auto"/>
        <w:left w:val="none" w:sz="0" w:space="0" w:color="auto"/>
        <w:bottom w:val="none" w:sz="0" w:space="0" w:color="auto"/>
        <w:right w:val="none" w:sz="0" w:space="0" w:color="auto"/>
      </w:divBdr>
    </w:div>
    <w:div w:id="1598363547">
      <w:bodyDiv w:val="1"/>
      <w:marLeft w:val="0"/>
      <w:marRight w:val="0"/>
      <w:marTop w:val="0"/>
      <w:marBottom w:val="0"/>
      <w:divBdr>
        <w:top w:val="none" w:sz="0" w:space="0" w:color="auto"/>
        <w:left w:val="none" w:sz="0" w:space="0" w:color="auto"/>
        <w:bottom w:val="none" w:sz="0" w:space="0" w:color="auto"/>
        <w:right w:val="none" w:sz="0" w:space="0" w:color="auto"/>
      </w:divBdr>
    </w:div>
    <w:div w:id="1617247017">
      <w:bodyDiv w:val="1"/>
      <w:marLeft w:val="0"/>
      <w:marRight w:val="0"/>
      <w:marTop w:val="0"/>
      <w:marBottom w:val="0"/>
      <w:divBdr>
        <w:top w:val="none" w:sz="0" w:space="0" w:color="auto"/>
        <w:left w:val="none" w:sz="0" w:space="0" w:color="auto"/>
        <w:bottom w:val="none" w:sz="0" w:space="0" w:color="auto"/>
        <w:right w:val="none" w:sz="0" w:space="0" w:color="auto"/>
      </w:divBdr>
    </w:div>
    <w:div w:id="1623851283">
      <w:bodyDiv w:val="1"/>
      <w:marLeft w:val="0"/>
      <w:marRight w:val="0"/>
      <w:marTop w:val="0"/>
      <w:marBottom w:val="0"/>
      <w:divBdr>
        <w:top w:val="none" w:sz="0" w:space="0" w:color="auto"/>
        <w:left w:val="none" w:sz="0" w:space="0" w:color="auto"/>
        <w:bottom w:val="none" w:sz="0" w:space="0" w:color="auto"/>
        <w:right w:val="none" w:sz="0" w:space="0" w:color="auto"/>
      </w:divBdr>
    </w:div>
    <w:div w:id="1637638013">
      <w:bodyDiv w:val="1"/>
      <w:marLeft w:val="0"/>
      <w:marRight w:val="0"/>
      <w:marTop w:val="0"/>
      <w:marBottom w:val="0"/>
      <w:divBdr>
        <w:top w:val="none" w:sz="0" w:space="0" w:color="auto"/>
        <w:left w:val="none" w:sz="0" w:space="0" w:color="auto"/>
        <w:bottom w:val="none" w:sz="0" w:space="0" w:color="auto"/>
        <w:right w:val="none" w:sz="0" w:space="0" w:color="auto"/>
      </w:divBdr>
    </w:div>
    <w:div w:id="1647969238">
      <w:bodyDiv w:val="1"/>
      <w:marLeft w:val="0"/>
      <w:marRight w:val="0"/>
      <w:marTop w:val="0"/>
      <w:marBottom w:val="0"/>
      <w:divBdr>
        <w:top w:val="none" w:sz="0" w:space="0" w:color="auto"/>
        <w:left w:val="none" w:sz="0" w:space="0" w:color="auto"/>
        <w:bottom w:val="none" w:sz="0" w:space="0" w:color="auto"/>
        <w:right w:val="none" w:sz="0" w:space="0" w:color="auto"/>
      </w:divBdr>
    </w:div>
    <w:div w:id="1650858929">
      <w:bodyDiv w:val="1"/>
      <w:marLeft w:val="0"/>
      <w:marRight w:val="0"/>
      <w:marTop w:val="0"/>
      <w:marBottom w:val="0"/>
      <w:divBdr>
        <w:top w:val="none" w:sz="0" w:space="0" w:color="auto"/>
        <w:left w:val="none" w:sz="0" w:space="0" w:color="auto"/>
        <w:bottom w:val="none" w:sz="0" w:space="0" w:color="auto"/>
        <w:right w:val="none" w:sz="0" w:space="0" w:color="auto"/>
      </w:divBdr>
    </w:div>
    <w:div w:id="1684437410">
      <w:bodyDiv w:val="1"/>
      <w:marLeft w:val="0"/>
      <w:marRight w:val="0"/>
      <w:marTop w:val="0"/>
      <w:marBottom w:val="0"/>
      <w:divBdr>
        <w:top w:val="none" w:sz="0" w:space="0" w:color="auto"/>
        <w:left w:val="none" w:sz="0" w:space="0" w:color="auto"/>
        <w:bottom w:val="none" w:sz="0" w:space="0" w:color="auto"/>
        <w:right w:val="none" w:sz="0" w:space="0" w:color="auto"/>
      </w:divBdr>
    </w:div>
    <w:div w:id="1771121662">
      <w:bodyDiv w:val="1"/>
      <w:marLeft w:val="0"/>
      <w:marRight w:val="0"/>
      <w:marTop w:val="0"/>
      <w:marBottom w:val="0"/>
      <w:divBdr>
        <w:top w:val="none" w:sz="0" w:space="0" w:color="auto"/>
        <w:left w:val="none" w:sz="0" w:space="0" w:color="auto"/>
        <w:bottom w:val="none" w:sz="0" w:space="0" w:color="auto"/>
        <w:right w:val="none" w:sz="0" w:space="0" w:color="auto"/>
      </w:divBdr>
    </w:div>
    <w:div w:id="1836342150">
      <w:bodyDiv w:val="1"/>
      <w:marLeft w:val="0"/>
      <w:marRight w:val="0"/>
      <w:marTop w:val="0"/>
      <w:marBottom w:val="0"/>
      <w:divBdr>
        <w:top w:val="none" w:sz="0" w:space="0" w:color="auto"/>
        <w:left w:val="none" w:sz="0" w:space="0" w:color="auto"/>
        <w:bottom w:val="none" w:sz="0" w:space="0" w:color="auto"/>
        <w:right w:val="none" w:sz="0" w:space="0" w:color="auto"/>
      </w:divBdr>
    </w:div>
    <w:div w:id="1845128576">
      <w:bodyDiv w:val="1"/>
      <w:marLeft w:val="0"/>
      <w:marRight w:val="0"/>
      <w:marTop w:val="0"/>
      <w:marBottom w:val="0"/>
      <w:divBdr>
        <w:top w:val="none" w:sz="0" w:space="0" w:color="auto"/>
        <w:left w:val="none" w:sz="0" w:space="0" w:color="auto"/>
        <w:bottom w:val="none" w:sz="0" w:space="0" w:color="auto"/>
        <w:right w:val="none" w:sz="0" w:space="0" w:color="auto"/>
      </w:divBdr>
    </w:div>
    <w:div w:id="1853109745">
      <w:bodyDiv w:val="1"/>
      <w:marLeft w:val="0"/>
      <w:marRight w:val="0"/>
      <w:marTop w:val="0"/>
      <w:marBottom w:val="0"/>
      <w:divBdr>
        <w:top w:val="none" w:sz="0" w:space="0" w:color="auto"/>
        <w:left w:val="none" w:sz="0" w:space="0" w:color="auto"/>
        <w:bottom w:val="none" w:sz="0" w:space="0" w:color="auto"/>
        <w:right w:val="none" w:sz="0" w:space="0" w:color="auto"/>
      </w:divBdr>
    </w:div>
    <w:div w:id="1882476498">
      <w:bodyDiv w:val="1"/>
      <w:marLeft w:val="0"/>
      <w:marRight w:val="0"/>
      <w:marTop w:val="0"/>
      <w:marBottom w:val="0"/>
      <w:divBdr>
        <w:top w:val="none" w:sz="0" w:space="0" w:color="auto"/>
        <w:left w:val="none" w:sz="0" w:space="0" w:color="auto"/>
        <w:bottom w:val="none" w:sz="0" w:space="0" w:color="auto"/>
        <w:right w:val="none" w:sz="0" w:space="0" w:color="auto"/>
      </w:divBdr>
    </w:div>
    <w:div w:id="1923954529">
      <w:bodyDiv w:val="1"/>
      <w:marLeft w:val="0"/>
      <w:marRight w:val="0"/>
      <w:marTop w:val="0"/>
      <w:marBottom w:val="0"/>
      <w:divBdr>
        <w:top w:val="none" w:sz="0" w:space="0" w:color="auto"/>
        <w:left w:val="none" w:sz="0" w:space="0" w:color="auto"/>
        <w:bottom w:val="none" w:sz="0" w:space="0" w:color="auto"/>
        <w:right w:val="none" w:sz="0" w:space="0" w:color="auto"/>
      </w:divBdr>
    </w:div>
    <w:div w:id="1938253308">
      <w:bodyDiv w:val="1"/>
      <w:marLeft w:val="0"/>
      <w:marRight w:val="0"/>
      <w:marTop w:val="0"/>
      <w:marBottom w:val="0"/>
      <w:divBdr>
        <w:top w:val="none" w:sz="0" w:space="0" w:color="auto"/>
        <w:left w:val="none" w:sz="0" w:space="0" w:color="auto"/>
        <w:bottom w:val="none" w:sz="0" w:space="0" w:color="auto"/>
        <w:right w:val="none" w:sz="0" w:space="0" w:color="auto"/>
      </w:divBdr>
    </w:div>
    <w:div w:id="1957909241">
      <w:bodyDiv w:val="1"/>
      <w:marLeft w:val="0"/>
      <w:marRight w:val="0"/>
      <w:marTop w:val="0"/>
      <w:marBottom w:val="0"/>
      <w:divBdr>
        <w:top w:val="none" w:sz="0" w:space="0" w:color="auto"/>
        <w:left w:val="none" w:sz="0" w:space="0" w:color="auto"/>
        <w:bottom w:val="none" w:sz="0" w:space="0" w:color="auto"/>
        <w:right w:val="none" w:sz="0" w:space="0" w:color="auto"/>
      </w:divBdr>
      <w:divsChild>
        <w:div w:id="2023117502">
          <w:marLeft w:val="0"/>
          <w:marRight w:val="0"/>
          <w:marTop w:val="0"/>
          <w:marBottom w:val="0"/>
          <w:divBdr>
            <w:top w:val="none" w:sz="0" w:space="0" w:color="auto"/>
            <w:left w:val="none" w:sz="0" w:space="0" w:color="auto"/>
            <w:bottom w:val="none" w:sz="0" w:space="0" w:color="auto"/>
            <w:right w:val="none" w:sz="0" w:space="0" w:color="auto"/>
          </w:divBdr>
          <w:divsChild>
            <w:div w:id="7589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321">
      <w:bodyDiv w:val="1"/>
      <w:marLeft w:val="0"/>
      <w:marRight w:val="0"/>
      <w:marTop w:val="0"/>
      <w:marBottom w:val="0"/>
      <w:divBdr>
        <w:top w:val="none" w:sz="0" w:space="0" w:color="auto"/>
        <w:left w:val="none" w:sz="0" w:space="0" w:color="auto"/>
        <w:bottom w:val="none" w:sz="0" w:space="0" w:color="auto"/>
        <w:right w:val="none" w:sz="0" w:space="0" w:color="auto"/>
      </w:divBdr>
      <w:divsChild>
        <w:div w:id="1050883839">
          <w:marLeft w:val="0"/>
          <w:marRight w:val="0"/>
          <w:marTop w:val="0"/>
          <w:marBottom w:val="0"/>
          <w:divBdr>
            <w:top w:val="none" w:sz="0" w:space="0" w:color="auto"/>
            <w:left w:val="none" w:sz="0" w:space="0" w:color="auto"/>
            <w:bottom w:val="none" w:sz="0" w:space="0" w:color="auto"/>
            <w:right w:val="none" w:sz="0" w:space="0" w:color="auto"/>
          </w:divBdr>
          <w:divsChild>
            <w:div w:id="5267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0188">
      <w:bodyDiv w:val="1"/>
      <w:marLeft w:val="0"/>
      <w:marRight w:val="0"/>
      <w:marTop w:val="0"/>
      <w:marBottom w:val="0"/>
      <w:divBdr>
        <w:top w:val="none" w:sz="0" w:space="0" w:color="auto"/>
        <w:left w:val="none" w:sz="0" w:space="0" w:color="auto"/>
        <w:bottom w:val="none" w:sz="0" w:space="0" w:color="auto"/>
        <w:right w:val="none" w:sz="0" w:space="0" w:color="auto"/>
      </w:divBdr>
    </w:div>
    <w:div w:id="2006476069">
      <w:bodyDiv w:val="1"/>
      <w:marLeft w:val="0"/>
      <w:marRight w:val="0"/>
      <w:marTop w:val="0"/>
      <w:marBottom w:val="0"/>
      <w:divBdr>
        <w:top w:val="none" w:sz="0" w:space="0" w:color="auto"/>
        <w:left w:val="none" w:sz="0" w:space="0" w:color="auto"/>
        <w:bottom w:val="none" w:sz="0" w:space="0" w:color="auto"/>
        <w:right w:val="none" w:sz="0" w:space="0" w:color="auto"/>
      </w:divBdr>
    </w:div>
    <w:div w:id="2031296528">
      <w:bodyDiv w:val="1"/>
      <w:marLeft w:val="0"/>
      <w:marRight w:val="0"/>
      <w:marTop w:val="0"/>
      <w:marBottom w:val="0"/>
      <w:divBdr>
        <w:top w:val="none" w:sz="0" w:space="0" w:color="auto"/>
        <w:left w:val="none" w:sz="0" w:space="0" w:color="auto"/>
        <w:bottom w:val="none" w:sz="0" w:space="0" w:color="auto"/>
        <w:right w:val="none" w:sz="0" w:space="0" w:color="auto"/>
      </w:divBdr>
    </w:div>
    <w:div w:id="2095978621">
      <w:bodyDiv w:val="1"/>
      <w:marLeft w:val="0"/>
      <w:marRight w:val="0"/>
      <w:marTop w:val="0"/>
      <w:marBottom w:val="0"/>
      <w:divBdr>
        <w:top w:val="none" w:sz="0" w:space="0" w:color="auto"/>
        <w:left w:val="none" w:sz="0" w:space="0" w:color="auto"/>
        <w:bottom w:val="none" w:sz="0" w:space="0" w:color="auto"/>
        <w:right w:val="none" w:sz="0" w:space="0" w:color="auto"/>
      </w:divBdr>
    </w:div>
    <w:div w:id="21214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oper@cooperkir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lendorf\Documents\Custom%20Office%20Templates\Supreme%20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1319C78241404F812C5443F8FD3002" ma:contentTypeVersion="9" ma:contentTypeDescription="Create a new document." ma:contentTypeScope="" ma:versionID="fa1954cd3be3dd2cb5713593111a3168">
  <xsd:schema xmlns:xsd="http://www.w3.org/2001/XMLSchema" xmlns:xs="http://www.w3.org/2001/XMLSchema" xmlns:p="http://schemas.microsoft.com/office/2006/metadata/properties" xmlns:ns2="af29a2b6-34d2-471f-9c03-b8f57717a583" targetNamespace="http://schemas.microsoft.com/office/2006/metadata/properties" ma:root="true" ma:fieldsID="62c03e88e9585e8f73b6047a6159a54a" ns2:_="">
    <xsd:import namespace="af29a2b6-34d2-471f-9c03-b8f57717a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9a2b6-34d2-471f-9c03-b8f57717a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0C7C1-1A7B-4292-99AC-5E75C5BFED6A}">
  <ds:schemaRefs>
    <ds:schemaRef ds:uri="http://schemas.microsoft.com/sharepoint/v3/contenttype/forms"/>
  </ds:schemaRefs>
</ds:datastoreItem>
</file>

<file path=customXml/itemProps2.xml><?xml version="1.0" encoding="utf-8"?>
<ds:datastoreItem xmlns:ds="http://schemas.openxmlformats.org/officeDocument/2006/customXml" ds:itemID="{0FA7F8EF-DDBE-417D-A2DB-AD2F700F17B7}">
  <ds:schemaRefs>
    <ds:schemaRef ds:uri="http://schemas.openxmlformats.org/officeDocument/2006/bibliography"/>
  </ds:schemaRefs>
</ds:datastoreItem>
</file>

<file path=customXml/itemProps3.xml><?xml version="1.0" encoding="utf-8"?>
<ds:datastoreItem xmlns:ds="http://schemas.openxmlformats.org/officeDocument/2006/customXml" ds:itemID="{DFC8EE4A-3364-46B8-970A-06418899C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9a2b6-34d2-471f-9c03-b8f57717a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E2A19-08AA-4C4F-9013-08851099D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Supreme Court.dotx</Template>
  <TotalTime>5</TotalTime>
  <Pages>36</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Ohlendorf</dc:creator>
  <cp:lastModifiedBy>John Ohlendorf</cp:lastModifiedBy>
  <cp:revision>5</cp:revision>
  <cp:lastPrinted>2021-06-09T20:35:00Z</cp:lastPrinted>
  <dcterms:created xsi:type="dcterms:W3CDTF">2021-07-16T14:06:00Z</dcterms:created>
  <dcterms:modified xsi:type="dcterms:W3CDTF">2021-07-16T14:28:00Z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0x010100221319C78241404F812C5443F8FD3002</vt:lpwstr>
  </property>
</Properties>
</file>